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C3CA9" w14:textId="77777777" w:rsidR="00580997" w:rsidRPr="00220635" w:rsidRDefault="007C5BAA" w:rsidP="005C69A5">
      <w:pPr>
        <w:pStyle w:val="Heading1"/>
      </w:pPr>
      <w:r w:rsidRPr="00220635">
        <w:t>Family planning</w:t>
      </w:r>
    </w:p>
    <w:p w14:paraId="071A85BA" w14:textId="51B77BF0" w:rsidR="004671A4" w:rsidRPr="00220635" w:rsidRDefault="005874E5">
      <w:pPr>
        <w:pStyle w:val="TOC6"/>
        <w:rPr>
          <w:rFonts w:asciiTheme="minorHAnsi" w:eastAsiaTheme="minorEastAsia" w:hAnsiTheme="minorHAnsi"/>
          <w:spacing w:val="0"/>
          <w:sz w:val="22"/>
          <w:szCs w:val="22"/>
          <w:lang w:eastAsia="en-ZA"/>
        </w:rPr>
      </w:pPr>
      <w:r w:rsidRPr="00220635">
        <w:fldChar w:fldCharType="begin"/>
      </w:r>
      <w:r w:rsidRPr="00220635">
        <w:instrText xml:space="preserve"> TOC \b Chapter7 \n \h \z \u \t "Heading 1A,6,Heading 2,7,Heading 3,8,Heading 4,9" </w:instrText>
      </w:r>
      <w:r w:rsidRPr="00220635">
        <w:fldChar w:fldCharType="separate"/>
      </w:r>
      <w:hyperlink w:anchor="_Toc66085691" w:history="1">
        <w:r w:rsidR="004671A4" w:rsidRPr="00220635">
          <w:rPr>
            <w:rStyle w:val="Hyperlink"/>
          </w:rPr>
          <w:t>Introduction to contraception</w:t>
        </w:r>
      </w:hyperlink>
    </w:p>
    <w:p w14:paraId="1F88D463" w14:textId="77777777" w:rsidR="004671A4" w:rsidRPr="009233E5" w:rsidRDefault="004671A4" w:rsidP="00B66E6D">
      <w:pPr>
        <w:pStyle w:val="TOC7"/>
        <w:ind w:left="624"/>
        <w:rPr>
          <w:rFonts w:asciiTheme="minorHAnsi" w:eastAsiaTheme="minorEastAsia" w:hAnsiTheme="minorHAnsi"/>
          <w:spacing w:val="0"/>
          <w:sz w:val="28"/>
          <w:szCs w:val="22"/>
          <w:lang w:eastAsia="en-ZA"/>
        </w:rPr>
      </w:pPr>
      <w:hyperlink w:anchor="_Toc66085692" w:history="1">
        <w:r w:rsidRPr="009233E5">
          <w:rPr>
            <w:rStyle w:val="Hyperlink"/>
            <w:sz w:val="24"/>
          </w:rPr>
          <w:t>7.1</w:t>
        </w:r>
        <w:r w:rsidRPr="009233E5">
          <w:rPr>
            <w:rFonts w:asciiTheme="minorHAnsi" w:eastAsiaTheme="minorEastAsia" w:hAnsiTheme="minorHAnsi"/>
            <w:spacing w:val="0"/>
            <w:sz w:val="28"/>
            <w:szCs w:val="22"/>
            <w:lang w:eastAsia="en-ZA"/>
          </w:rPr>
          <w:tab/>
        </w:r>
        <w:r w:rsidRPr="009233E5">
          <w:rPr>
            <w:rStyle w:val="Hyperlink"/>
            <w:sz w:val="24"/>
          </w:rPr>
          <w:t>Intrauterine contraceptive copper device (IUCD)</w:t>
        </w:r>
      </w:hyperlink>
    </w:p>
    <w:p w14:paraId="5F48AD0F" w14:textId="77777777" w:rsidR="004671A4" w:rsidRPr="009233E5" w:rsidRDefault="004671A4" w:rsidP="00B66E6D">
      <w:pPr>
        <w:pStyle w:val="TOC7"/>
        <w:ind w:left="624"/>
        <w:rPr>
          <w:rFonts w:asciiTheme="minorHAnsi" w:eastAsiaTheme="minorEastAsia" w:hAnsiTheme="minorHAnsi"/>
          <w:spacing w:val="0"/>
          <w:sz w:val="28"/>
          <w:szCs w:val="22"/>
          <w:lang w:eastAsia="en-ZA"/>
        </w:rPr>
      </w:pPr>
      <w:hyperlink w:anchor="_Toc66085693" w:history="1">
        <w:r w:rsidRPr="009233E5">
          <w:rPr>
            <w:rStyle w:val="Hyperlink"/>
            <w:sz w:val="24"/>
          </w:rPr>
          <w:t>7.2</w:t>
        </w:r>
        <w:r w:rsidRPr="009233E5">
          <w:rPr>
            <w:rFonts w:asciiTheme="minorHAnsi" w:eastAsiaTheme="minorEastAsia" w:hAnsiTheme="minorHAnsi"/>
            <w:spacing w:val="0"/>
            <w:sz w:val="28"/>
            <w:szCs w:val="22"/>
            <w:lang w:eastAsia="en-ZA"/>
          </w:rPr>
          <w:tab/>
        </w:r>
        <w:r w:rsidRPr="009233E5">
          <w:rPr>
            <w:rStyle w:val="Hyperlink"/>
            <w:sz w:val="24"/>
          </w:rPr>
          <w:t>Contraception, hormonal</w:t>
        </w:r>
      </w:hyperlink>
    </w:p>
    <w:p w14:paraId="02240327" w14:textId="77777777" w:rsidR="004671A4" w:rsidRPr="009233E5" w:rsidRDefault="004671A4" w:rsidP="00B66E6D">
      <w:pPr>
        <w:pStyle w:val="TOC8"/>
        <w:ind w:left="1475"/>
        <w:rPr>
          <w:rFonts w:asciiTheme="minorHAnsi" w:eastAsiaTheme="minorEastAsia" w:hAnsiTheme="minorHAnsi"/>
          <w:spacing w:val="0"/>
          <w:sz w:val="28"/>
          <w:szCs w:val="22"/>
          <w:lang w:eastAsia="en-ZA"/>
        </w:rPr>
      </w:pPr>
      <w:hyperlink w:anchor="_Toc66085694" w:history="1">
        <w:r w:rsidRPr="009233E5">
          <w:rPr>
            <w:rStyle w:val="Hyperlink"/>
            <w:sz w:val="24"/>
          </w:rPr>
          <w:t>7.2.1</w:t>
        </w:r>
        <w:r w:rsidRPr="009233E5">
          <w:rPr>
            <w:rFonts w:asciiTheme="minorHAnsi" w:eastAsiaTheme="minorEastAsia" w:hAnsiTheme="minorHAnsi"/>
            <w:spacing w:val="0"/>
            <w:sz w:val="28"/>
            <w:szCs w:val="22"/>
            <w:lang w:eastAsia="en-ZA"/>
          </w:rPr>
          <w:tab/>
        </w:r>
        <w:r w:rsidRPr="009233E5">
          <w:rPr>
            <w:rStyle w:val="Hyperlink"/>
            <w:sz w:val="24"/>
          </w:rPr>
          <w:t>Subdermal implant</w:t>
        </w:r>
      </w:hyperlink>
    </w:p>
    <w:p w14:paraId="3A999575" w14:textId="6CDE6134" w:rsidR="004671A4" w:rsidRPr="009233E5" w:rsidRDefault="004671A4" w:rsidP="00B66E6D">
      <w:pPr>
        <w:pStyle w:val="TOC8"/>
        <w:ind w:left="1475"/>
        <w:rPr>
          <w:rFonts w:asciiTheme="minorHAnsi" w:eastAsiaTheme="minorEastAsia" w:hAnsiTheme="minorHAnsi"/>
          <w:spacing w:val="0"/>
          <w:sz w:val="28"/>
          <w:szCs w:val="22"/>
          <w:lang w:eastAsia="en-ZA"/>
        </w:rPr>
      </w:pPr>
      <w:hyperlink w:anchor="_Toc66085695" w:history="1">
        <w:r w:rsidRPr="009233E5">
          <w:rPr>
            <w:rStyle w:val="Hyperlink"/>
            <w:sz w:val="24"/>
          </w:rPr>
          <w:t>7.2.2</w:t>
        </w:r>
        <w:r w:rsidRPr="009233E5">
          <w:rPr>
            <w:rFonts w:asciiTheme="minorHAnsi" w:eastAsiaTheme="minorEastAsia" w:hAnsiTheme="minorHAnsi"/>
            <w:spacing w:val="0"/>
            <w:sz w:val="28"/>
            <w:szCs w:val="22"/>
            <w:lang w:eastAsia="en-ZA"/>
          </w:rPr>
          <w:tab/>
        </w:r>
        <w:r w:rsidRPr="009233E5">
          <w:rPr>
            <w:rStyle w:val="Hyperlink"/>
            <w:sz w:val="24"/>
          </w:rPr>
          <w:t xml:space="preserve">Levonorgestrel intra-uterine </w:t>
        </w:r>
        <w:r w:rsidR="004A5A14" w:rsidRPr="009233E5">
          <w:rPr>
            <w:rStyle w:val="Hyperlink"/>
            <w:sz w:val="24"/>
          </w:rPr>
          <w:t xml:space="preserve">device </w:t>
        </w:r>
        <w:r w:rsidRPr="009233E5">
          <w:rPr>
            <w:rStyle w:val="Hyperlink"/>
            <w:sz w:val="24"/>
          </w:rPr>
          <w:t>(LNG-</w:t>
        </w:r>
        <w:r w:rsidR="004A5A14" w:rsidRPr="009233E5">
          <w:rPr>
            <w:rStyle w:val="Hyperlink"/>
            <w:sz w:val="24"/>
          </w:rPr>
          <w:t>IUD</w:t>
        </w:r>
        <w:r w:rsidRPr="009233E5">
          <w:rPr>
            <w:rStyle w:val="Hyperlink"/>
            <w:sz w:val="24"/>
          </w:rPr>
          <w:t>)</w:t>
        </w:r>
      </w:hyperlink>
    </w:p>
    <w:p w14:paraId="31077C61" w14:textId="77777777" w:rsidR="004671A4" w:rsidRPr="009233E5" w:rsidRDefault="004671A4" w:rsidP="00B66E6D">
      <w:pPr>
        <w:pStyle w:val="TOC8"/>
        <w:ind w:left="1475"/>
        <w:rPr>
          <w:rFonts w:asciiTheme="minorHAnsi" w:eastAsiaTheme="minorEastAsia" w:hAnsiTheme="minorHAnsi"/>
          <w:spacing w:val="0"/>
          <w:sz w:val="28"/>
          <w:szCs w:val="22"/>
          <w:lang w:eastAsia="en-ZA"/>
        </w:rPr>
      </w:pPr>
      <w:hyperlink w:anchor="_Toc66085696" w:history="1">
        <w:r w:rsidRPr="009233E5">
          <w:rPr>
            <w:rStyle w:val="Hyperlink"/>
            <w:sz w:val="24"/>
          </w:rPr>
          <w:t>7.2.3</w:t>
        </w:r>
        <w:r w:rsidRPr="009233E5">
          <w:rPr>
            <w:rFonts w:asciiTheme="minorHAnsi" w:eastAsiaTheme="minorEastAsia" w:hAnsiTheme="minorHAnsi"/>
            <w:spacing w:val="0"/>
            <w:sz w:val="28"/>
            <w:szCs w:val="22"/>
            <w:lang w:eastAsia="en-ZA"/>
          </w:rPr>
          <w:tab/>
        </w:r>
        <w:r w:rsidRPr="009233E5">
          <w:rPr>
            <w:rStyle w:val="Hyperlink"/>
            <w:sz w:val="24"/>
          </w:rPr>
          <w:t>Injectable</w:t>
        </w:r>
      </w:hyperlink>
    </w:p>
    <w:p w14:paraId="073B5BAD" w14:textId="77777777" w:rsidR="004671A4" w:rsidRPr="009233E5" w:rsidRDefault="004671A4" w:rsidP="00B66E6D">
      <w:pPr>
        <w:pStyle w:val="TOC8"/>
        <w:ind w:left="1475"/>
        <w:rPr>
          <w:rFonts w:asciiTheme="minorHAnsi" w:eastAsiaTheme="minorEastAsia" w:hAnsiTheme="minorHAnsi"/>
          <w:spacing w:val="0"/>
          <w:sz w:val="28"/>
          <w:szCs w:val="22"/>
          <w:lang w:eastAsia="en-ZA"/>
        </w:rPr>
      </w:pPr>
      <w:hyperlink w:anchor="_Toc66085697" w:history="1">
        <w:r w:rsidRPr="009233E5">
          <w:rPr>
            <w:rStyle w:val="Hyperlink"/>
            <w:sz w:val="24"/>
          </w:rPr>
          <w:t>7.2.4</w:t>
        </w:r>
        <w:r w:rsidRPr="009233E5">
          <w:rPr>
            <w:rFonts w:asciiTheme="minorHAnsi" w:eastAsiaTheme="minorEastAsia" w:hAnsiTheme="minorHAnsi"/>
            <w:spacing w:val="0"/>
            <w:sz w:val="28"/>
            <w:szCs w:val="22"/>
            <w:lang w:eastAsia="en-ZA"/>
          </w:rPr>
          <w:tab/>
        </w:r>
        <w:r w:rsidRPr="009233E5">
          <w:rPr>
            <w:rStyle w:val="Hyperlink"/>
            <w:sz w:val="24"/>
          </w:rPr>
          <w:t>Oral</w:t>
        </w:r>
      </w:hyperlink>
    </w:p>
    <w:p w14:paraId="0B38A570" w14:textId="77777777" w:rsidR="004671A4" w:rsidRPr="009233E5" w:rsidRDefault="004671A4" w:rsidP="00B66E6D">
      <w:pPr>
        <w:pStyle w:val="TOC8"/>
        <w:ind w:left="1475"/>
        <w:rPr>
          <w:rFonts w:asciiTheme="minorHAnsi" w:eastAsiaTheme="minorEastAsia" w:hAnsiTheme="minorHAnsi"/>
          <w:spacing w:val="0"/>
          <w:sz w:val="28"/>
          <w:szCs w:val="22"/>
          <w:lang w:eastAsia="en-ZA"/>
        </w:rPr>
      </w:pPr>
      <w:hyperlink w:anchor="_Toc66085698" w:history="1">
        <w:r w:rsidRPr="009233E5">
          <w:rPr>
            <w:rStyle w:val="Hyperlink"/>
            <w:sz w:val="24"/>
          </w:rPr>
          <w:t>7.2.5</w:t>
        </w:r>
        <w:r w:rsidRPr="009233E5">
          <w:rPr>
            <w:rFonts w:asciiTheme="minorHAnsi" w:eastAsiaTheme="minorEastAsia" w:hAnsiTheme="minorHAnsi"/>
            <w:spacing w:val="0"/>
            <w:sz w:val="28"/>
            <w:szCs w:val="22"/>
            <w:lang w:eastAsia="en-ZA"/>
          </w:rPr>
          <w:tab/>
        </w:r>
        <w:r w:rsidRPr="009233E5">
          <w:rPr>
            <w:rStyle w:val="Hyperlink"/>
            <w:sz w:val="24"/>
          </w:rPr>
          <w:t>Missed pills</w:t>
        </w:r>
      </w:hyperlink>
    </w:p>
    <w:p w14:paraId="172F65E6" w14:textId="77777777" w:rsidR="004671A4" w:rsidRPr="009233E5" w:rsidRDefault="004671A4" w:rsidP="00B66E6D">
      <w:pPr>
        <w:pStyle w:val="TOC7"/>
        <w:ind w:left="624"/>
        <w:rPr>
          <w:rFonts w:asciiTheme="minorHAnsi" w:eastAsiaTheme="minorEastAsia" w:hAnsiTheme="minorHAnsi"/>
          <w:spacing w:val="0"/>
          <w:sz w:val="28"/>
          <w:szCs w:val="22"/>
          <w:lang w:eastAsia="en-ZA"/>
        </w:rPr>
      </w:pPr>
      <w:hyperlink w:anchor="_Toc66085699" w:history="1">
        <w:r w:rsidRPr="009233E5">
          <w:rPr>
            <w:rStyle w:val="Hyperlink"/>
            <w:sz w:val="24"/>
          </w:rPr>
          <w:t>7.3</w:t>
        </w:r>
        <w:r w:rsidRPr="009233E5">
          <w:rPr>
            <w:rFonts w:asciiTheme="minorHAnsi" w:eastAsiaTheme="minorEastAsia" w:hAnsiTheme="minorHAnsi"/>
            <w:spacing w:val="0"/>
            <w:sz w:val="28"/>
            <w:szCs w:val="22"/>
            <w:lang w:eastAsia="en-ZA"/>
          </w:rPr>
          <w:tab/>
        </w:r>
        <w:r w:rsidRPr="009233E5">
          <w:rPr>
            <w:rStyle w:val="Hyperlink"/>
            <w:sz w:val="24"/>
          </w:rPr>
          <w:t>Contraception, barrier methods</w:t>
        </w:r>
      </w:hyperlink>
    </w:p>
    <w:p w14:paraId="1064E27A" w14:textId="77777777" w:rsidR="004671A4" w:rsidRPr="009233E5" w:rsidRDefault="004671A4" w:rsidP="00B66E6D">
      <w:pPr>
        <w:pStyle w:val="TOC7"/>
        <w:ind w:left="624"/>
        <w:rPr>
          <w:rFonts w:asciiTheme="minorHAnsi" w:eastAsiaTheme="minorEastAsia" w:hAnsiTheme="minorHAnsi"/>
          <w:spacing w:val="0"/>
          <w:sz w:val="28"/>
          <w:szCs w:val="22"/>
          <w:lang w:eastAsia="en-ZA"/>
        </w:rPr>
      </w:pPr>
      <w:hyperlink w:anchor="_Toc66085700" w:history="1">
        <w:r w:rsidRPr="009233E5">
          <w:rPr>
            <w:rStyle w:val="Hyperlink"/>
            <w:sz w:val="24"/>
          </w:rPr>
          <w:t>7.4</w:t>
        </w:r>
        <w:r w:rsidRPr="009233E5">
          <w:rPr>
            <w:rFonts w:asciiTheme="minorHAnsi" w:eastAsiaTheme="minorEastAsia" w:hAnsiTheme="minorHAnsi"/>
            <w:spacing w:val="0"/>
            <w:sz w:val="28"/>
            <w:szCs w:val="22"/>
            <w:lang w:eastAsia="en-ZA"/>
          </w:rPr>
          <w:tab/>
        </w:r>
        <w:r w:rsidRPr="009233E5">
          <w:rPr>
            <w:rStyle w:val="Hyperlink"/>
            <w:sz w:val="24"/>
          </w:rPr>
          <w:t>Contraception, emergency</w:t>
        </w:r>
      </w:hyperlink>
    </w:p>
    <w:p w14:paraId="09512576" w14:textId="77777777" w:rsidR="004671A4" w:rsidRPr="009233E5" w:rsidRDefault="004671A4" w:rsidP="00B66E6D">
      <w:pPr>
        <w:pStyle w:val="TOC7"/>
        <w:ind w:left="624"/>
        <w:rPr>
          <w:rFonts w:asciiTheme="minorHAnsi" w:eastAsiaTheme="minorEastAsia" w:hAnsiTheme="minorHAnsi"/>
          <w:spacing w:val="0"/>
          <w:sz w:val="28"/>
          <w:szCs w:val="22"/>
          <w:lang w:eastAsia="en-ZA"/>
        </w:rPr>
      </w:pPr>
      <w:hyperlink w:anchor="_Toc66085701" w:history="1">
        <w:r w:rsidRPr="009233E5">
          <w:rPr>
            <w:rStyle w:val="Hyperlink"/>
            <w:sz w:val="24"/>
          </w:rPr>
          <w:t>7.5</w:t>
        </w:r>
        <w:r w:rsidRPr="009233E5">
          <w:rPr>
            <w:rFonts w:asciiTheme="minorHAnsi" w:eastAsiaTheme="minorEastAsia" w:hAnsiTheme="minorHAnsi"/>
            <w:spacing w:val="0"/>
            <w:sz w:val="28"/>
            <w:szCs w:val="22"/>
            <w:lang w:eastAsia="en-ZA"/>
          </w:rPr>
          <w:tab/>
        </w:r>
        <w:r w:rsidRPr="009233E5">
          <w:rPr>
            <w:rStyle w:val="Hyperlink"/>
            <w:sz w:val="24"/>
          </w:rPr>
          <w:t>Voluntary sterilisation, male and female</w:t>
        </w:r>
      </w:hyperlink>
    </w:p>
    <w:p w14:paraId="0916C9C1" w14:textId="77777777" w:rsidR="004671A4" w:rsidRPr="009233E5" w:rsidRDefault="004671A4" w:rsidP="00B66E6D">
      <w:pPr>
        <w:pStyle w:val="TOC7"/>
        <w:ind w:left="624"/>
        <w:rPr>
          <w:rFonts w:asciiTheme="minorHAnsi" w:eastAsiaTheme="minorEastAsia" w:hAnsiTheme="minorHAnsi"/>
          <w:spacing w:val="0"/>
          <w:sz w:val="28"/>
          <w:szCs w:val="22"/>
          <w:lang w:eastAsia="en-ZA"/>
        </w:rPr>
      </w:pPr>
      <w:hyperlink w:anchor="_Toc66085702" w:history="1">
        <w:r w:rsidRPr="009233E5">
          <w:rPr>
            <w:rStyle w:val="Hyperlink"/>
            <w:sz w:val="24"/>
          </w:rPr>
          <w:t>7.6</w:t>
        </w:r>
        <w:r w:rsidRPr="009233E5">
          <w:rPr>
            <w:rFonts w:asciiTheme="minorHAnsi" w:eastAsiaTheme="minorEastAsia" w:hAnsiTheme="minorHAnsi"/>
            <w:spacing w:val="0"/>
            <w:sz w:val="28"/>
            <w:szCs w:val="22"/>
            <w:lang w:eastAsia="en-ZA"/>
          </w:rPr>
          <w:tab/>
        </w:r>
        <w:r w:rsidRPr="009233E5">
          <w:rPr>
            <w:rStyle w:val="Hyperlink"/>
            <w:sz w:val="24"/>
          </w:rPr>
          <w:t>Breakthrough bleeding with contraceptive use</w:t>
        </w:r>
      </w:hyperlink>
    </w:p>
    <w:p w14:paraId="4C161F56" w14:textId="51B77BF0" w:rsidR="000147CD" w:rsidRPr="00220635" w:rsidRDefault="005874E5" w:rsidP="00AD1B9A">
      <w:r w:rsidRPr="00220635">
        <w:rPr>
          <w:rFonts w:ascii="Arial Black" w:hAnsi="Arial Black"/>
          <w:noProof/>
          <w:sz w:val="24"/>
          <w:szCs w:val="24"/>
        </w:rPr>
        <w:fldChar w:fldCharType="end"/>
      </w:r>
      <w:r w:rsidR="000147CD" w:rsidRPr="00220635">
        <w:br w:type="page"/>
      </w:r>
    </w:p>
    <w:p w14:paraId="07BD0DDF" w14:textId="77777777" w:rsidR="00CE4531" w:rsidRPr="00220635" w:rsidRDefault="00E30FA8" w:rsidP="00E30FA8">
      <w:pPr>
        <w:pStyle w:val="Heading1A"/>
      </w:pPr>
      <w:bookmarkStart w:id="0" w:name="_Toc66085691"/>
      <w:bookmarkStart w:id="1" w:name="_Toc50580094"/>
      <w:bookmarkStart w:id="2" w:name="Chapter7"/>
      <w:r w:rsidRPr="00220635">
        <w:lastRenderedPageBreak/>
        <w:t>Introduction to contraception</w:t>
      </w:r>
      <w:bookmarkEnd w:id="0"/>
      <w:r w:rsidRPr="00220635">
        <w:fldChar w:fldCharType="begin"/>
      </w:r>
      <w:r w:rsidRPr="00220635">
        <w:instrText xml:space="preserve"> XE "Introduction to contraception" \f “c”</w:instrText>
      </w:r>
      <w:r w:rsidRPr="00220635">
        <w:fldChar w:fldCharType="end"/>
      </w:r>
    </w:p>
    <w:p w14:paraId="7AC9DF80" w14:textId="77777777" w:rsidR="00CE4531" w:rsidRPr="00220635" w:rsidRDefault="00CE4531" w:rsidP="00E84094">
      <w:r w:rsidRPr="00220635">
        <w:t xml:space="preserve">Consult the most recent National Contraception Clinical Guidelines (especially in women with medical conditions). </w:t>
      </w:r>
    </w:p>
    <w:p w14:paraId="2D903A3F" w14:textId="1CE8C4EF" w:rsidR="00CE4531" w:rsidRPr="00220635" w:rsidRDefault="00383A0B" w:rsidP="00E84094">
      <w:r>
        <w:t>Women should decide their</w:t>
      </w:r>
      <w:r w:rsidR="00B7098F">
        <w:t xml:space="preserve"> own</w:t>
      </w:r>
      <w:r w:rsidRPr="00220635">
        <w:t xml:space="preserve"> </w:t>
      </w:r>
      <w:r w:rsidR="00CE4531" w:rsidRPr="00220635">
        <w:t>family planning method</w:t>
      </w:r>
      <w:r w:rsidR="00CB65FF">
        <w:t>,</w:t>
      </w:r>
      <w:r w:rsidR="00CE4531" w:rsidRPr="00220635">
        <w:t xml:space="preserve"> in consultation with the</w:t>
      </w:r>
      <w:r w:rsidR="00CB65FF">
        <w:t>ir</w:t>
      </w:r>
      <w:r w:rsidR="00CE4531" w:rsidRPr="00220635">
        <w:t xml:space="preserve"> health care </w:t>
      </w:r>
      <w:proofErr w:type="spellStart"/>
      <w:r w:rsidR="00CE4531" w:rsidRPr="00220635">
        <w:t>professional</w:t>
      </w:r>
      <w:r w:rsidR="00CB65FF">
        <w:t>,</w:t>
      </w:r>
      <w:r w:rsidR="00CE4531" w:rsidRPr="00220635">
        <w:t>taking</w:t>
      </w:r>
      <w:proofErr w:type="spellEnd"/>
      <w:r w:rsidR="00CE4531" w:rsidRPr="00220635">
        <w:t xml:space="preserve"> into consideration safety, efficacy, acceptability</w:t>
      </w:r>
      <w:r w:rsidR="00CB65FF">
        <w:t>,</w:t>
      </w:r>
      <w:r w:rsidR="00CE4531" w:rsidRPr="00220635">
        <w:t xml:space="preserve"> and access. </w:t>
      </w:r>
      <w:r w:rsidR="00D74BFF">
        <w:t xml:space="preserve">Always </w:t>
      </w:r>
      <w:r w:rsidR="006A57B2">
        <w:t>obtain a</w:t>
      </w:r>
      <w:r w:rsidR="00CE4531" w:rsidRPr="00220635">
        <w:t xml:space="preserve"> complete medical and sexual history and </w:t>
      </w:r>
      <w:r w:rsidR="00F21F67">
        <w:t xml:space="preserve">perform </w:t>
      </w:r>
      <w:r w:rsidR="00CE4531" w:rsidRPr="00220635">
        <w:t xml:space="preserve">an appropriate physical examination </w:t>
      </w:r>
      <w:proofErr w:type="gramStart"/>
      <w:r w:rsidR="00CE4531" w:rsidRPr="00220635">
        <w:t>in order to</w:t>
      </w:r>
      <w:proofErr w:type="gramEnd"/>
      <w:r w:rsidR="00CE4531" w:rsidRPr="00220635">
        <w:t xml:space="preserve"> ensure that there are no contra-indications to using a particular method. Always exclude pregnancy before commencing contraception.</w:t>
      </w:r>
    </w:p>
    <w:p w14:paraId="11174966" w14:textId="77777777" w:rsidR="00CE4531" w:rsidRPr="00220635" w:rsidRDefault="00CE4531" w:rsidP="00E84094">
      <w:pPr>
        <w:pStyle w:val="Heading7"/>
      </w:pPr>
      <w:r w:rsidRPr="00220635">
        <w:t>Contraceptive methods</w:t>
      </w:r>
    </w:p>
    <w:p w14:paraId="45677E9C" w14:textId="77777777" w:rsidR="00CE4531" w:rsidRPr="00220635" w:rsidRDefault="00A464F3" w:rsidP="00A464F3">
      <w:pPr>
        <w:pStyle w:val="Centeredbox"/>
      </w:pPr>
      <w:r w:rsidRPr="00220635">
        <w:t>Hormonal contraception and IUCDs do not prevent sexually transmitted infections (STIs), including HIV. Dual protection i.e. the use of a condom in combination with another contraceptive method is recommended to reduce the risk of STIs, including HIV.</w:t>
      </w:r>
    </w:p>
    <w:tbl>
      <w:tblPr>
        <w:tblStyle w:val="SamplePHCTable"/>
        <w:tblW w:w="5000" w:type="pct"/>
        <w:tblLook w:val="0460" w:firstRow="1" w:lastRow="1" w:firstColumn="0" w:lastColumn="0" w:noHBand="0" w:noVBand="1"/>
      </w:tblPr>
      <w:tblGrid>
        <w:gridCol w:w="1555"/>
        <w:gridCol w:w="2693"/>
        <w:gridCol w:w="2431"/>
      </w:tblGrid>
      <w:tr w:rsidR="00AF7A8E" w:rsidRPr="00220635" w14:paraId="77ABE880" w14:textId="77777777" w:rsidTr="00EC01F3">
        <w:trPr>
          <w:cnfStyle w:val="100000000000" w:firstRow="1" w:lastRow="0" w:firstColumn="0" w:lastColumn="0" w:oddVBand="0" w:evenVBand="0" w:oddHBand="0" w:evenHBand="0" w:firstRowFirstColumn="0" w:firstRowLastColumn="0" w:lastRowFirstColumn="0" w:lastRowLastColumn="0"/>
        </w:trPr>
        <w:tc>
          <w:tcPr>
            <w:tcW w:w="1164" w:type="pct"/>
          </w:tcPr>
          <w:p w14:paraId="2E70F520" w14:textId="77777777" w:rsidR="00CE4531" w:rsidRPr="00220635" w:rsidRDefault="00CE4531" w:rsidP="0005414E">
            <w:pPr>
              <w:pStyle w:val="NoSpacing"/>
              <w:jc w:val="center"/>
              <w:rPr>
                <w:szCs w:val="16"/>
              </w:rPr>
            </w:pPr>
            <w:r w:rsidRPr="00220635">
              <w:rPr>
                <w:szCs w:val="16"/>
              </w:rPr>
              <w:t>Contraceptive method</w:t>
            </w:r>
          </w:p>
        </w:tc>
        <w:tc>
          <w:tcPr>
            <w:tcW w:w="2016" w:type="pct"/>
          </w:tcPr>
          <w:p w14:paraId="3E7886EB" w14:textId="77777777" w:rsidR="00CE4531" w:rsidRPr="00220635" w:rsidRDefault="00CE4531" w:rsidP="0005414E">
            <w:pPr>
              <w:pStyle w:val="NoSpacing"/>
              <w:jc w:val="center"/>
              <w:rPr>
                <w:szCs w:val="16"/>
              </w:rPr>
            </w:pPr>
            <w:r w:rsidRPr="00220635">
              <w:rPr>
                <w:szCs w:val="16"/>
              </w:rPr>
              <w:t>Advantages</w:t>
            </w:r>
          </w:p>
          <w:p w14:paraId="30DCCB5A" w14:textId="77777777" w:rsidR="00CE4531" w:rsidRPr="00220635" w:rsidRDefault="00CE4531" w:rsidP="0005414E">
            <w:pPr>
              <w:pStyle w:val="NoSpacing"/>
              <w:jc w:val="center"/>
              <w:rPr>
                <w:szCs w:val="16"/>
              </w:rPr>
            </w:pPr>
            <w:r w:rsidRPr="00220635">
              <w:rPr>
                <w:szCs w:val="16"/>
              </w:rPr>
              <w:t>include:</w:t>
            </w:r>
          </w:p>
        </w:tc>
        <w:tc>
          <w:tcPr>
            <w:tcW w:w="1820" w:type="pct"/>
          </w:tcPr>
          <w:p w14:paraId="2171F757" w14:textId="77777777" w:rsidR="00CE4531" w:rsidRPr="00220635" w:rsidRDefault="00CE4531" w:rsidP="0005414E">
            <w:pPr>
              <w:pStyle w:val="NoSpacing"/>
              <w:jc w:val="center"/>
              <w:rPr>
                <w:szCs w:val="16"/>
              </w:rPr>
            </w:pPr>
            <w:r w:rsidRPr="00220635">
              <w:rPr>
                <w:szCs w:val="16"/>
              </w:rPr>
              <w:t>Disadvantages</w:t>
            </w:r>
          </w:p>
          <w:p w14:paraId="2C2A8E90" w14:textId="77777777" w:rsidR="00CE4531" w:rsidRPr="00220635" w:rsidRDefault="00CE4531" w:rsidP="0005414E">
            <w:pPr>
              <w:pStyle w:val="NoSpacing"/>
              <w:jc w:val="center"/>
              <w:rPr>
                <w:szCs w:val="16"/>
              </w:rPr>
            </w:pPr>
            <w:r w:rsidRPr="00220635">
              <w:rPr>
                <w:szCs w:val="16"/>
              </w:rPr>
              <w:t>include:</w:t>
            </w:r>
          </w:p>
        </w:tc>
      </w:tr>
      <w:tr w:rsidR="00976CB8" w:rsidRPr="00220635" w14:paraId="36E876B5" w14:textId="77777777" w:rsidTr="00EC01F3">
        <w:tc>
          <w:tcPr>
            <w:tcW w:w="1164" w:type="pct"/>
          </w:tcPr>
          <w:p w14:paraId="19036D90" w14:textId="77777777" w:rsidR="00CE4531" w:rsidRPr="00220635" w:rsidRDefault="00CE4531" w:rsidP="00F70525">
            <w:pPr>
              <w:pStyle w:val="NoSpacing"/>
              <w:rPr>
                <w:szCs w:val="16"/>
              </w:rPr>
            </w:pPr>
            <w:r w:rsidRPr="00220635">
              <w:rPr>
                <w:szCs w:val="16"/>
              </w:rPr>
              <w:t>Copper IUCD</w:t>
            </w:r>
          </w:p>
          <w:p w14:paraId="338EF8EB" w14:textId="77777777" w:rsidR="00CE4531" w:rsidRPr="00220635" w:rsidRDefault="00CE4531" w:rsidP="00F70525">
            <w:pPr>
              <w:pStyle w:val="NoSpacing"/>
              <w:rPr>
                <w:szCs w:val="16"/>
              </w:rPr>
            </w:pPr>
            <w:r w:rsidRPr="00220635">
              <w:rPr>
                <w:szCs w:val="16"/>
              </w:rPr>
              <w:t>(see Section 7.1)</w:t>
            </w:r>
          </w:p>
          <w:p w14:paraId="0EF00D6A" w14:textId="77777777" w:rsidR="00CE4531" w:rsidRPr="00220635" w:rsidRDefault="00CE4531" w:rsidP="00F70525">
            <w:pPr>
              <w:pStyle w:val="NoSpacing"/>
              <w:rPr>
                <w:szCs w:val="16"/>
              </w:rPr>
            </w:pPr>
          </w:p>
        </w:tc>
        <w:tc>
          <w:tcPr>
            <w:tcW w:w="2016" w:type="pct"/>
          </w:tcPr>
          <w:p w14:paraId="2A3F5E45" w14:textId="77777777" w:rsidR="00CE4531" w:rsidRPr="00220635" w:rsidRDefault="00CE4531" w:rsidP="00AF7A8E">
            <w:pPr>
              <w:pStyle w:val="ListParagraph"/>
              <w:rPr>
                <w:szCs w:val="16"/>
              </w:rPr>
            </w:pPr>
            <w:r w:rsidRPr="00220635">
              <w:rPr>
                <w:szCs w:val="16"/>
              </w:rPr>
              <w:t>Suitable for most women, including nulliparous women.</w:t>
            </w:r>
          </w:p>
          <w:p w14:paraId="5C1050D6" w14:textId="651E30ED" w:rsidR="00CE4531" w:rsidRPr="00220635" w:rsidRDefault="00CE4531" w:rsidP="00AF7A8E">
            <w:pPr>
              <w:pStyle w:val="ListParagraph"/>
              <w:rPr>
                <w:szCs w:val="16"/>
              </w:rPr>
            </w:pPr>
            <w:r w:rsidRPr="00220635">
              <w:rPr>
                <w:szCs w:val="16"/>
              </w:rPr>
              <w:t>Provides long-term protection i.e. 5</w:t>
            </w:r>
            <w:r w:rsidR="004671A4" w:rsidRPr="00220635">
              <w:rPr>
                <w:szCs w:val="16"/>
              </w:rPr>
              <w:t xml:space="preserve"> </w:t>
            </w:r>
            <w:r w:rsidRPr="00220635">
              <w:rPr>
                <w:szCs w:val="16"/>
              </w:rPr>
              <w:t>years</w:t>
            </w:r>
            <w:r w:rsidR="00DA7B42">
              <w:rPr>
                <w:szCs w:val="16"/>
              </w:rPr>
              <w:t>.</w:t>
            </w:r>
          </w:p>
          <w:p w14:paraId="78F9FE6D" w14:textId="4E02D21A" w:rsidR="00CE4531" w:rsidRPr="00220635" w:rsidRDefault="00CE4531" w:rsidP="00AF7A8E">
            <w:pPr>
              <w:pStyle w:val="ListParagraph"/>
              <w:rPr>
                <w:szCs w:val="16"/>
              </w:rPr>
            </w:pPr>
            <w:r w:rsidRPr="00220635">
              <w:rPr>
                <w:szCs w:val="16"/>
              </w:rPr>
              <w:t xml:space="preserve">Convenient, does not require </w:t>
            </w:r>
            <w:r w:rsidR="00237A40">
              <w:rPr>
                <w:szCs w:val="16"/>
              </w:rPr>
              <w:t>frequent</w:t>
            </w:r>
            <w:r w:rsidR="00237A40" w:rsidRPr="00220635">
              <w:rPr>
                <w:szCs w:val="16"/>
              </w:rPr>
              <w:t xml:space="preserve"> </w:t>
            </w:r>
            <w:r w:rsidRPr="00220635">
              <w:rPr>
                <w:szCs w:val="16"/>
              </w:rPr>
              <w:t>follow up.</w:t>
            </w:r>
          </w:p>
          <w:p w14:paraId="29A28FE3" w14:textId="77777777" w:rsidR="00CE4531" w:rsidRPr="00220635" w:rsidRDefault="00CE4531" w:rsidP="00AF7A8E">
            <w:pPr>
              <w:pStyle w:val="ListParagraph"/>
              <w:rPr>
                <w:szCs w:val="16"/>
              </w:rPr>
            </w:pPr>
            <w:r w:rsidRPr="00220635">
              <w:rPr>
                <w:szCs w:val="16"/>
              </w:rPr>
              <w:t>Works immediately on insertion.</w:t>
            </w:r>
          </w:p>
          <w:p w14:paraId="5C76CDB5" w14:textId="77777777" w:rsidR="00CE4531" w:rsidRPr="00220635" w:rsidRDefault="00CE4531" w:rsidP="00AF7A8E">
            <w:pPr>
              <w:pStyle w:val="ListParagraph"/>
              <w:rPr>
                <w:szCs w:val="16"/>
              </w:rPr>
            </w:pPr>
            <w:r w:rsidRPr="00220635">
              <w:rPr>
                <w:szCs w:val="16"/>
              </w:rPr>
              <w:t>Non-hormonal therefore no interaction with other medication and no hormonal side effects.</w:t>
            </w:r>
          </w:p>
          <w:p w14:paraId="54BE7537" w14:textId="77777777" w:rsidR="00CE4531" w:rsidRPr="00220635" w:rsidRDefault="00CE4531" w:rsidP="00AF7A8E">
            <w:pPr>
              <w:pStyle w:val="ListParagraph"/>
              <w:rPr>
                <w:szCs w:val="16"/>
              </w:rPr>
            </w:pPr>
            <w:r w:rsidRPr="00220635">
              <w:rPr>
                <w:szCs w:val="16"/>
              </w:rPr>
              <w:t>Fertility returns on removal of IUCD in women of child-bearing age.</w:t>
            </w:r>
          </w:p>
        </w:tc>
        <w:tc>
          <w:tcPr>
            <w:tcW w:w="1820" w:type="pct"/>
          </w:tcPr>
          <w:p w14:paraId="29A39E5E" w14:textId="77777777" w:rsidR="00CE4531" w:rsidRPr="00220635" w:rsidRDefault="00CE4531" w:rsidP="00AF7A8E">
            <w:pPr>
              <w:pStyle w:val="ListParagraph"/>
              <w:rPr>
                <w:szCs w:val="16"/>
              </w:rPr>
            </w:pPr>
            <w:r w:rsidRPr="00220635">
              <w:rPr>
                <w:szCs w:val="16"/>
              </w:rPr>
              <w:t>Some discomfort or cramping during and following insertion.</w:t>
            </w:r>
          </w:p>
          <w:p w14:paraId="04FF3865" w14:textId="77777777" w:rsidR="00CE4531" w:rsidRPr="00220635" w:rsidRDefault="00CE4531" w:rsidP="00AF7A8E">
            <w:pPr>
              <w:pStyle w:val="ListParagraph"/>
              <w:rPr>
                <w:szCs w:val="16"/>
              </w:rPr>
            </w:pPr>
            <w:r w:rsidRPr="00220635">
              <w:rPr>
                <w:szCs w:val="16"/>
              </w:rPr>
              <w:t>IUCD must be inserted or removed by a trained health care professional.</w:t>
            </w:r>
          </w:p>
          <w:p w14:paraId="4E232FAA" w14:textId="77777777" w:rsidR="00CE4531" w:rsidRPr="00220635" w:rsidRDefault="00CE4531" w:rsidP="00AF7A8E">
            <w:pPr>
              <w:pStyle w:val="ListParagraph"/>
              <w:rPr>
                <w:szCs w:val="16"/>
              </w:rPr>
            </w:pPr>
            <w:r w:rsidRPr="00220635">
              <w:rPr>
                <w:szCs w:val="16"/>
              </w:rPr>
              <w:t>Should not be used in women with menorrhagia, active pelvic inflammatory disease (PID), purulent cervicitis, unexplained uterine bleeding, cervical and endometrial cancers or other uterine abnormalities.</w:t>
            </w:r>
          </w:p>
        </w:tc>
      </w:tr>
      <w:tr w:rsidR="00F70525" w:rsidRPr="00220635" w14:paraId="62A4010A" w14:textId="77777777" w:rsidTr="00EC01F3">
        <w:tc>
          <w:tcPr>
            <w:tcW w:w="1164" w:type="pct"/>
          </w:tcPr>
          <w:p w14:paraId="0F1ED174" w14:textId="3B899800" w:rsidR="00F70525" w:rsidRPr="00383A0B" w:rsidRDefault="00F70525" w:rsidP="00F70525">
            <w:pPr>
              <w:pStyle w:val="NoSpacing"/>
              <w:rPr>
                <w:szCs w:val="16"/>
              </w:rPr>
            </w:pPr>
            <w:r w:rsidRPr="00383A0B">
              <w:rPr>
                <w:szCs w:val="16"/>
              </w:rPr>
              <w:t>Levonorgest</w:t>
            </w:r>
            <w:r w:rsidR="00CF7176" w:rsidRPr="00383A0B">
              <w:rPr>
                <w:szCs w:val="16"/>
              </w:rPr>
              <w:t xml:space="preserve">rel Intrauterine </w:t>
            </w:r>
            <w:r w:rsidR="004A5A14" w:rsidRPr="00383A0B">
              <w:rPr>
                <w:szCs w:val="16"/>
              </w:rPr>
              <w:t xml:space="preserve">device </w:t>
            </w:r>
            <w:r w:rsidR="00CF7176" w:rsidRPr="00383A0B">
              <w:rPr>
                <w:szCs w:val="16"/>
              </w:rPr>
              <w:t>(LNG-</w:t>
            </w:r>
            <w:r w:rsidR="004A5A14" w:rsidRPr="00383A0B">
              <w:rPr>
                <w:szCs w:val="16"/>
              </w:rPr>
              <w:t>IUD</w:t>
            </w:r>
            <w:r w:rsidRPr="00383A0B">
              <w:rPr>
                <w:szCs w:val="16"/>
              </w:rPr>
              <w:t>)</w:t>
            </w:r>
          </w:p>
          <w:p w14:paraId="2C55FE7F" w14:textId="77777777" w:rsidR="00F70525" w:rsidRPr="00220635" w:rsidRDefault="00BE3516" w:rsidP="00F70525">
            <w:pPr>
              <w:pStyle w:val="NoSpacing"/>
              <w:rPr>
                <w:szCs w:val="16"/>
              </w:rPr>
            </w:pPr>
            <w:r w:rsidRPr="00220635">
              <w:rPr>
                <w:szCs w:val="16"/>
              </w:rPr>
              <w:t>(see Section 7.2.2</w:t>
            </w:r>
            <w:r w:rsidR="00F70525" w:rsidRPr="00220635">
              <w:rPr>
                <w:szCs w:val="16"/>
              </w:rPr>
              <w:t>)</w:t>
            </w:r>
          </w:p>
        </w:tc>
        <w:tc>
          <w:tcPr>
            <w:tcW w:w="2016" w:type="pct"/>
          </w:tcPr>
          <w:p w14:paraId="7A11202E" w14:textId="77777777" w:rsidR="00F70525" w:rsidRPr="00220635" w:rsidRDefault="00F70525" w:rsidP="00F70525">
            <w:pPr>
              <w:pStyle w:val="ListParagraph"/>
              <w:rPr>
                <w:szCs w:val="16"/>
              </w:rPr>
            </w:pPr>
            <w:r w:rsidRPr="00220635">
              <w:rPr>
                <w:szCs w:val="16"/>
              </w:rPr>
              <w:t>Suitable for most women, including nulliparous women.</w:t>
            </w:r>
          </w:p>
          <w:p w14:paraId="7E0C80F0" w14:textId="683A7976" w:rsidR="00F70525" w:rsidRPr="00220635" w:rsidRDefault="00F70525" w:rsidP="00F70525">
            <w:pPr>
              <w:pStyle w:val="ListParagraph"/>
              <w:rPr>
                <w:szCs w:val="16"/>
              </w:rPr>
            </w:pPr>
            <w:r w:rsidRPr="00220635">
              <w:rPr>
                <w:szCs w:val="16"/>
              </w:rPr>
              <w:t>Provides long-term protection (up to 5 years)</w:t>
            </w:r>
            <w:r w:rsidR="00650322">
              <w:rPr>
                <w:szCs w:val="16"/>
              </w:rPr>
              <w:t>.</w:t>
            </w:r>
          </w:p>
          <w:p w14:paraId="40BB7DAF" w14:textId="5D432023" w:rsidR="00F70525" w:rsidRPr="00220635" w:rsidRDefault="00F70525" w:rsidP="00F70525">
            <w:pPr>
              <w:pStyle w:val="ListParagraph"/>
              <w:rPr>
                <w:szCs w:val="16"/>
              </w:rPr>
            </w:pPr>
            <w:r w:rsidRPr="00220635">
              <w:rPr>
                <w:szCs w:val="16"/>
              </w:rPr>
              <w:t xml:space="preserve">Convenient, does not require </w:t>
            </w:r>
            <w:r w:rsidR="000279BE">
              <w:rPr>
                <w:szCs w:val="16"/>
              </w:rPr>
              <w:t>frequent</w:t>
            </w:r>
            <w:r w:rsidR="000279BE" w:rsidRPr="00220635">
              <w:rPr>
                <w:szCs w:val="16"/>
              </w:rPr>
              <w:t xml:space="preserve"> </w:t>
            </w:r>
            <w:r w:rsidRPr="00220635">
              <w:rPr>
                <w:szCs w:val="16"/>
              </w:rPr>
              <w:t>follow up.</w:t>
            </w:r>
          </w:p>
          <w:p w14:paraId="73D17E35" w14:textId="77777777" w:rsidR="00F70525" w:rsidRPr="00220635" w:rsidRDefault="00F70525" w:rsidP="00F70525">
            <w:pPr>
              <w:pStyle w:val="ListParagraph"/>
              <w:rPr>
                <w:szCs w:val="16"/>
              </w:rPr>
            </w:pPr>
            <w:r w:rsidRPr="00220635">
              <w:rPr>
                <w:szCs w:val="16"/>
              </w:rPr>
              <w:t>Works immediately on insertion.</w:t>
            </w:r>
          </w:p>
          <w:p w14:paraId="46E3BD13" w14:textId="77F56E6F" w:rsidR="00F70525" w:rsidRPr="00220635" w:rsidRDefault="00F70525" w:rsidP="00F70525">
            <w:pPr>
              <w:pStyle w:val="ListParagraph"/>
              <w:rPr>
                <w:szCs w:val="16"/>
              </w:rPr>
            </w:pPr>
            <w:r w:rsidRPr="00220635">
              <w:rPr>
                <w:szCs w:val="16"/>
              </w:rPr>
              <w:t>Immediate return to fertility on removal</w:t>
            </w:r>
            <w:r w:rsidR="004424A1">
              <w:rPr>
                <w:szCs w:val="16"/>
              </w:rPr>
              <w:t>.</w:t>
            </w:r>
          </w:p>
          <w:p w14:paraId="6E2E0CD0" w14:textId="4FC5FA2F" w:rsidR="00F70525" w:rsidRDefault="00F70525" w:rsidP="00F70525">
            <w:pPr>
              <w:pStyle w:val="ListParagraph"/>
              <w:rPr>
                <w:szCs w:val="16"/>
              </w:rPr>
            </w:pPr>
            <w:r w:rsidRPr="00220635">
              <w:rPr>
                <w:szCs w:val="16"/>
              </w:rPr>
              <w:t>Reduces menstrual cramps, heavy menstrual bleeding</w:t>
            </w:r>
            <w:r w:rsidR="004424A1">
              <w:rPr>
                <w:szCs w:val="16"/>
              </w:rPr>
              <w:t>,</w:t>
            </w:r>
            <w:r w:rsidRPr="00220635">
              <w:rPr>
                <w:szCs w:val="16"/>
              </w:rPr>
              <w:t xml:space="preserve"> and symptoms of endometrios</w:t>
            </w:r>
            <w:r w:rsidR="008E2BEC">
              <w:rPr>
                <w:szCs w:val="16"/>
              </w:rPr>
              <w:t>i</w:t>
            </w:r>
            <w:r w:rsidRPr="00220635">
              <w:rPr>
                <w:szCs w:val="16"/>
              </w:rPr>
              <w:t>s</w:t>
            </w:r>
            <w:r w:rsidR="004424A1">
              <w:rPr>
                <w:szCs w:val="16"/>
              </w:rPr>
              <w:t>.</w:t>
            </w:r>
          </w:p>
          <w:p w14:paraId="2035F597" w14:textId="791BC4C6" w:rsidR="002515B0" w:rsidRDefault="002515B0" w:rsidP="00F70525">
            <w:pPr>
              <w:pStyle w:val="ListParagraph"/>
              <w:rPr>
                <w:szCs w:val="16"/>
              </w:rPr>
            </w:pPr>
            <w:r w:rsidRPr="00220635">
              <w:rPr>
                <w:szCs w:val="16"/>
              </w:rPr>
              <w:t xml:space="preserve">Can be </w:t>
            </w:r>
            <w:r>
              <w:rPr>
                <w:szCs w:val="16"/>
              </w:rPr>
              <w:t>inserted</w:t>
            </w:r>
            <w:r w:rsidRPr="00220635">
              <w:rPr>
                <w:szCs w:val="16"/>
              </w:rPr>
              <w:t xml:space="preserve"> postpartum</w:t>
            </w:r>
            <w:r>
              <w:rPr>
                <w:szCs w:val="16"/>
              </w:rPr>
              <w:t xml:space="preserve"> (within 48 hours after delivery)</w:t>
            </w:r>
            <w:r w:rsidR="004424A1">
              <w:rPr>
                <w:szCs w:val="16"/>
              </w:rPr>
              <w: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6C4DD6" w:rsidRPr="00220635" w14:paraId="1D1781FE" w14:textId="77777777" w:rsidTr="00B66E6D">
              <w:tc>
                <w:tcPr>
                  <w:tcW w:w="907" w:type="dxa"/>
                  <w:shd w:val="clear" w:color="auto" w:fill="FFFFFF" w:themeFill="background1"/>
                </w:tcPr>
                <w:p w14:paraId="49A01376" w14:textId="03F425D2" w:rsidR="006C4DD6" w:rsidRPr="00220635" w:rsidRDefault="006C4DD6" w:rsidP="006C4DD6">
                  <w:pPr>
                    <w:pStyle w:val="LoEText"/>
                    <w:framePr w:hSpace="0" w:wrap="auto" w:vAnchor="margin" w:hAnchor="text" w:xAlign="left" w:yAlign="inline"/>
                    <w:suppressOverlap w:val="0"/>
                  </w:pPr>
                  <w:proofErr w:type="spellStart"/>
                  <w:r>
                    <w:t>LoE:I</w:t>
                  </w:r>
                  <w:r w:rsidRPr="00220635">
                    <w:t>I</w:t>
                  </w:r>
                  <w:r w:rsidR="00457199">
                    <w:t>b</w:t>
                  </w:r>
                  <w:proofErr w:type="spellEnd"/>
                  <w:r w:rsidRPr="00220635">
                    <w:rPr>
                      <w:rStyle w:val="EndnoteReference8"/>
                    </w:rPr>
                    <w:endnoteReference w:id="2"/>
                  </w:r>
                </w:p>
              </w:tc>
            </w:tr>
          </w:tbl>
          <w:p w14:paraId="29D96BA1" w14:textId="37610628" w:rsidR="006C4DD6" w:rsidRPr="00220635" w:rsidRDefault="006C4DD6" w:rsidP="006C4DD6">
            <w:pPr>
              <w:pStyle w:val="ListParagraph"/>
              <w:numPr>
                <w:ilvl w:val="0"/>
                <w:numId w:val="0"/>
              </w:numPr>
              <w:ind w:left="284"/>
              <w:rPr>
                <w:szCs w:val="16"/>
              </w:rPr>
            </w:pPr>
          </w:p>
        </w:tc>
        <w:tc>
          <w:tcPr>
            <w:tcW w:w="1820" w:type="pct"/>
          </w:tcPr>
          <w:p w14:paraId="1502BE48" w14:textId="2A94EAF5" w:rsidR="00F70525" w:rsidRPr="00220635" w:rsidRDefault="00F70525" w:rsidP="00F70525">
            <w:pPr>
              <w:pStyle w:val="ListParagraph"/>
              <w:rPr>
                <w:szCs w:val="16"/>
              </w:rPr>
            </w:pPr>
            <w:r w:rsidRPr="00220635">
              <w:rPr>
                <w:szCs w:val="16"/>
              </w:rPr>
              <w:t>Bleeding changes are common but not harmful. Typically, lighter and fewer days of bleeding, or infrequent or irregular bleeding</w:t>
            </w:r>
            <w:r w:rsidR="004671A4" w:rsidRPr="00220635">
              <w:rPr>
                <w:szCs w:val="16"/>
              </w:rPr>
              <w:t>.</w:t>
            </w:r>
          </w:p>
          <w:p w14:paraId="4933D014" w14:textId="38D082BA" w:rsidR="00F70525" w:rsidRPr="00220635" w:rsidRDefault="00F70525" w:rsidP="004671A4">
            <w:pPr>
              <w:pStyle w:val="ListParagraph"/>
              <w:rPr>
                <w:szCs w:val="16"/>
              </w:rPr>
            </w:pPr>
            <w:r w:rsidRPr="00220635">
              <w:rPr>
                <w:szCs w:val="16"/>
              </w:rPr>
              <w:t>LNG-</w:t>
            </w:r>
            <w:r w:rsidR="004A5A14" w:rsidRPr="00220635">
              <w:rPr>
                <w:szCs w:val="16"/>
              </w:rPr>
              <w:t xml:space="preserve">IUD  </w:t>
            </w:r>
            <w:r w:rsidRPr="00220635">
              <w:rPr>
                <w:szCs w:val="16"/>
              </w:rPr>
              <w:t>must be inserted or removed by a tr</w:t>
            </w:r>
            <w:r w:rsidR="004671A4" w:rsidRPr="00220635">
              <w:rPr>
                <w:szCs w:val="16"/>
              </w:rPr>
              <w:t>ained health care professional.</w:t>
            </w:r>
          </w:p>
          <w:p w14:paraId="7876D274" w14:textId="1C072C4D" w:rsidR="009B2E90" w:rsidRPr="00220635" w:rsidRDefault="009B2E90" w:rsidP="004671A4">
            <w:pPr>
              <w:pStyle w:val="ListParagraph"/>
              <w:rPr>
                <w:szCs w:val="16"/>
              </w:rPr>
            </w:pPr>
            <w:r w:rsidRPr="00220635">
              <w:rPr>
                <w:szCs w:val="16"/>
              </w:rPr>
              <w:t>Should not be used in women with active</w:t>
            </w:r>
            <w:r w:rsidR="00863DE5">
              <w:rPr>
                <w:szCs w:val="16"/>
              </w:rPr>
              <w:t xml:space="preserve"> PID.</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AA5610" w:rsidRPr="00220635" w14:paraId="7F01561A" w14:textId="77777777" w:rsidTr="00AA5610">
              <w:tc>
                <w:tcPr>
                  <w:tcW w:w="907" w:type="dxa"/>
                  <w:shd w:val="clear" w:color="auto" w:fill="FFFFFF" w:themeFill="background1"/>
                </w:tcPr>
                <w:p w14:paraId="38967488" w14:textId="6AB8EC18" w:rsidR="00AA5610" w:rsidRPr="00220635" w:rsidRDefault="00AA5610" w:rsidP="00AA5610">
                  <w:pPr>
                    <w:pStyle w:val="LoEText"/>
                    <w:framePr w:hSpace="0" w:wrap="auto" w:vAnchor="margin" w:hAnchor="text" w:xAlign="left" w:yAlign="inline"/>
                    <w:suppressOverlap w:val="0"/>
                  </w:pPr>
                  <w:proofErr w:type="spellStart"/>
                  <w:r w:rsidRPr="00220635">
                    <w:t>LoE:III</w:t>
                  </w:r>
                  <w:r w:rsidR="00457199">
                    <w:t>b</w:t>
                  </w:r>
                  <w:proofErr w:type="spellEnd"/>
                  <w:r w:rsidRPr="00220635">
                    <w:rPr>
                      <w:rStyle w:val="EndnoteReference8"/>
                    </w:rPr>
                    <w:endnoteReference w:id="3"/>
                  </w:r>
                </w:p>
              </w:tc>
            </w:tr>
          </w:tbl>
          <w:p w14:paraId="37E4E14C" w14:textId="5E644EE7" w:rsidR="00AA5610" w:rsidRPr="00220635" w:rsidRDefault="00AA5610" w:rsidP="00AA5610">
            <w:pPr>
              <w:pStyle w:val="ListParagraph"/>
              <w:numPr>
                <w:ilvl w:val="0"/>
                <w:numId w:val="0"/>
              </w:numPr>
              <w:ind w:left="284"/>
              <w:rPr>
                <w:szCs w:val="16"/>
              </w:rPr>
            </w:pPr>
          </w:p>
        </w:tc>
      </w:tr>
      <w:tr w:rsidR="00976CB8" w:rsidRPr="00220635" w14:paraId="5EDB15BF" w14:textId="77777777" w:rsidTr="00EC01F3">
        <w:tc>
          <w:tcPr>
            <w:tcW w:w="1164" w:type="pct"/>
          </w:tcPr>
          <w:p w14:paraId="48C8D411" w14:textId="77777777" w:rsidR="00CE4531" w:rsidRPr="00220635" w:rsidRDefault="00CE4531" w:rsidP="00F70525">
            <w:pPr>
              <w:pStyle w:val="NoSpacing"/>
              <w:rPr>
                <w:szCs w:val="16"/>
              </w:rPr>
            </w:pPr>
            <w:r w:rsidRPr="00220635">
              <w:rPr>
                <w:szCs w:val="16"/>
              </w:rPr>
              <w:t>Hormonal subdermal: progestin-only implant (see Section 7.2.1)</w:t>
            </w:r>
          </w:p>
          <w:p w14:paraId="5B7C7E8B" w14:textId="77777777" w:rsidR="00CE4531" w:rsidRPr="00220635" w:rsidRDefault="00CE4531" w:rsidP="00F70525">
            <w:pPr>
              <w:pStyle w:val="NoSpacing"/>
              <w:rPr>
                <w:szCs w:val="16"/>
              </w:rPr>
            </w:pPr>
          </w:p>
        </w:tc>
        <w:tc>
          <w:tcPr>
            <w:tcW w:w="2016" w:type="pct"/>
          </w:tcPr>
          <w:p w14:paraId="520F89B0" w14:textId="77777777" w:rsidR="00CE4531" w:rsidRPr="00220635" w:rsidRDefault="00CE4531" w:rsidP="008977FC">
            <w:pPr>
              <w:pStyle w:val="ListParagraph"/>
              <w:rPr>
                <w:szCs w:val="16"/>
              </w:rPr>
            </w:pPr>
            <w:r w:rsidRPr="00220635">
              <w:rPr>
                <w:szCs w:val="16"/>
              </w:rPr>
              <w:lastRenderedPageBreak/>
              <w:t>Provides long-term protection i.e. 3 years (etonogestrel) or 5 years (levonorgestrel).</w:t>
            </w:r>
          </w:p>
          <w:p w14:paraId="3922140F" w14:textId="050F9F48" w:rsidR="00CE4531" w:rsidRPr="00220635" w:rsidRDefault="00CE4531" w:rsidP="008977FC">
            <w:pPr>
              <w:pStyle w:val="ListParagraph"/>
              <w:rPr>
                <w:szCs w:val="16"/>
              </w:rPr>
            </w:pPr>
            <w:r w:rsidRPr="00220635">
              <w:rPr>
                <w:szCs w:val="16"/>
              </w:rPr>
              <w:t xml:space="preserve">Convenient, does not require </w:t>
            </w:r>
            <w:r w:rsidR="000279BE">
              <w:rPr>
                <w:szCs w:val="16"/>
              </w:rPr>
              <w:t>frequent</w:t>
            </w:r>
            <w:r w:rsidR="000279BE" w:rsidRPr="00220635">
              <w:rPr>
                <w:szCs w:val="16"/>
              </w:rPr>
              <w:t xml:space="preserve"> </w:t>
            </w:r>
            <w:r w:rsidRPr="00220635">
              <w:rPr>
                <w:szCs w:val="16"/>
              </w:rPr>
              <w:t>follow up.</w:t>
            </w:r>
          </w:p>
          <w:p w14:paraId="6B68453C" w14:textId="2AE85C37" w:rsidR="00CE4531" w:rsidRPr="00220635" w:rsidRDefault="00CE4531" w:rsidP="008977FC">
            <w:pPr>
              <w:pStyle w:val="ListParagraph"/>
              <w:rPr>
                <w:szCs w:val="16"/>
              </w:rPr>
            </w:pPr>
            <w:r w:rsidRPr="00220635">
              <w:rPr>
                <w:szCs w:val="16"/>
              </w:rPr>
              <w:lastRenderedPageBreak/>
              <w:t xml:space="preserve">Can be used in women &gt;35 years who are obese, who smoke, </w:t>
            </w:r>
            <w:r w:rsidR="00723336">
              <w:rPr>
                <w:szCs w:val="16"/>
              </w:rPr>
              <w:t xml:space="preserve">or who </w:t>
            </w:r>
            <w:r w:rsidRPr="00220635">
              <w:rPr>
                <w:szCs w:val="16"/>
              </w:rPr>
              <w:t>have diabetes, hypertension, or a history of venous thromboembolism.</w:t>
            </w:r>
          </w:p>
          <w:p w14:paraId="1A34FB12" w14:textId="77777777" w:rsidR="00CE4531" w:rsidRPr="00220635" w:rsidRDefault="00CE4531" w:rsidP="008977FC">
            <w:pPr>
              <w:pStyle w:val="ListParagraph"/>
              <w:rPr>
                <w:szCs w:val="16"/>
              </w:rPr>
            </w:pPr>
            <w:r w:rsidRPr="00220635">
              <w:rPr>
                <w:szCs w:val="16"/>
              </w:rPr>
              <w:t>Fertility returns on removal of implant in women of child-bearing age.</w:t>
            </w:r>
          </w:p>
        </w:tc>
        <w:tc>
          <w:tcPr>
            <w:tcW w:w="1820" w:type="pct"/>
          </w:tcPr>
          <w:p w14:paraId="7D90A725" w14:textId="77777777" w:rsidR="00CE4531" w:rsidRPr="00220635" w:rsidRDefault="00CE4531" w:rsidP="008977FC">
            <w:pPr>
              <w:pStyle w:val="ListParagraph"/>
              <w:rPr>
                <w:szCs w:val="16"/>
              </w:rPr>
            </w:pPr>
            <w:r w:rsidRPr="00220635">
              <w:rPr>
                <w:szCs w:val="16"/>
              </w:rPr>
              <w:lastRenderedPageBreak/>
              <w:t xml:space="preserve">Frequent bleeding irregularities. </w:t>
            </w:r>
          </w:p>
          <w:p w14:paraId="31692CD4" w14:textId="77777777" w:rsidR="00CE4531" w:rsidRPr="00220635" w:rsidRDefault="00CE4531" w:rsidP="008977FC">
            <w:pPr>
              <w:pStyle w:val="ListParagraph"/>
              <w:rPr>
                <w:szCs w:val="16"/>
              </w:rPr>
            </w:pPr>
            <w:r w:rsidRPr="00220635">
              <w:rPr>
                <w:szCs w:val="16"/>
              </w:rPr>
              <w:t xml:space="preserve">Implant must be inserted or removed by a trained health care professional under </w:t>
            </w:r>
            <w:r w:rsidRPr="00220635">
              <w:rPr>
                <w:szCs w:val="16"/>
              </w:rPr>
              <w:lastRenderedPageBreak/>
              <w:t>aseptic conditions to prevent infection.</w:t>
            </w:r>
          </w:p>
          <w:p w14:paraId="2AE99A8E" w14:textId="77777777" w:rsidR="00CE4531" w:rsidRPr="00220635" w:rsidRDefault="00CE4531" w:rsidP="008977FC">
            <w:pPr>
              <w:pStyle w:val="ListParagraph"/>
              <w:rPr>
                <w:szCs w:val="16"/>
              </w:rPr>
            </w:pPr>
            <w:r w:rsidRPr="00220635">
              <w:rPr>
                <w:szCs w:val="16"/>
              </w:rPr>
              <w:t>Incorrect insertion and removal technique may result in complications.</w:t>
            </w:r>
          </w:p>
        </w:tc>
      </w:tr>
      <w:tr w:rsidR="00976CB8" w:rsidRPr="00220635" w14:paraId="292696A2" w14:textId="77777777" w:rsidTr="00EC01F3">
        <w:tc>
          <w:tcPr>
            <w:tcW w:w="1164" w:type="pct"/>
          </w:tcPr>
          <w:p w14:paraId="15DE2A43" w14:textId="77777777" w:rsidR="00CE4531" w:rsidRPr="00220635" w:rsidRDefault="00CE4531" w:rsidP="00F70525">
            <w:pPr>
              <w:pStyle w:val="NoSpacing"/>
              <w:rPr>
                <w:szCs w:val="16"/>
              </w:rPr>
            </w:pPr>
            <w:r w:rsidRPr="00220635">
              <w:rPr>
                <w:szCs w:val="16"/>
              </w:rPr>
              <w:lastRenderedPageBreak/>
              <w:t>Hormonal injectable: progestin-only (see Section 7.2.2)</w:t>
            </w:r>
          </w:p>
          <w:p w14:paraId="07081912" w14:textId="77777777" w:rsidR="00CE4531" w:rsidRPr="00220635" w:rsidRDefault="00CE4531" w:rsidP="00F70525">
            <w:pPr>
              <w:pStyle w:val="NoSpacing"/>
              <w:rPr>
                <w:szCs w:val="16"/>
              </w:rPr>
            </w:pPr>
          </w:p>
        </w:tc>
        <w:tc>
          <w:tcPr>
            <w:tcW w:w="2016" w:type="pct"/>
          </w:tcPr>
          <w:p w14:paraId="5CB67B03" w14:textId="77777777" w:rsidR="00CE4531" w:rsidRPr="00220635" w:rsidRDefault="00CE4531" w:rsidP="008977FC">
            <w:pPr>
              <w:pStyle w:val="ListParagraph"/>
              <w:rPr>
                <w:szCs w:val="16"/>
              </w:rPr>
            </w:pPr>
            <w:r w:rsidRPr="00220635">
              <w:rPr>
                <w:szCs w:val="16"/>
              </w:rPr>
              <w:t>Daily adherence is not required.</w:t>
            </w:r>
          </w:p>
          <w:p w14:paraId="5F9A1A20" w14:textId="77777777" w:rsidR="00CE4531" w:rsidRPr="00220635" w:rsidRDefault="00CE4531" w:rsidP="008977FC">
            <w:pPr>
              <w:pStyle w:val="ListParagraph"/>
              <w:rPr>
                <w:szCs w:val="16"/>
              </w:rPr>
            </w:pPr>
            <w:proofErr w:type="gramStart"/>
            <w:r w:rsidRPr="00220635">
              <w:rPr>
                <w:szCs w:val="16"/>
              </w:rPr>
              <w:t>Long-acting</w:t>
            </w:r>
            <w:proofErr w:type="gramEnd"/>
            <w:r w:rsidRPr="00220635">
              <w:rPr>
                <w:szCs w:val="16"/>
              </w:rPr>
              <w:t xml:space="preserve"> i.e. given every 8 or 12 weeks. </w:t>
            </w:r>
          </w:p>
          <w:p w14:paraId="35E91704" w14:textId="77777777" w:rsidR="00CE4531" w:rsidRPr="00220635" w:rsidRDefault="00CE4531" w:rsidP="008977FC">
            <w:pPr>
              <w:pStyle w:val="ListParagraph"/>
              <w:rPr>
                <w:szCs w:val="16"/>
              </w:rPr>
            </w:pPr>
            <w:r w:rsidRPr="00220635" w:rsidDel="00790359">
              <w:rPr>
                <w:szCs w:val="16"/>
              </w:rPr>
              <w:t>Interactions with other medicines</w:t>
            </w:r>
            <w:r w:rsidRPr="00220635">
              <w:rPr>
                <w:szCs w:val="16"/>
              </w:rPr>
              <w:t xml:space="preserve"> do not lower</w:t>
            </w:r>
            <w:r w:rsidRPr="00220635" w:rsidDel="00790359">
              <w:rPr>
                <w:szCs w:val="16"/>
              </w:rPr>
              <w:t xml:space="preserve"> contraceptive effect</w:t>
            </w:r>
            <w:r w:rsidRPr="00220635">
              <w:rPr>
                <w:szCs w:val="16"/>
              </w:rPr>
              <w:t>.</w:t>
            </w:r>
          </w:p>
          <w:p w14:paraId="4A24C2AE" w14:textId="77777777" w:rsidR="00CE4531" w:rsidRPr="00220635" w:rsidRDefault="00CE4531" w:rsidP="008977FC">
            <w:pPr>
              <w:pStyle w:val="ListParagraph"/>
              <w:rPr>
                <w:szCs w:val="16"/>
              </w:rPr>
            </w:pPr>
            <w:r w:rsidRPr="00220635">
              <w:rPr>
                <w:szCs w:val="16"/>
              </w:rPr>
              <w:t>Can be used postpartum.</w:t>
            </w:r>
          </w:p>
          <w:p w14:paraId="7F4D58F6" w14:textId="435E341E" w:rsidR="00CE4531" w:rsidRPr="00220635" w:rsidRDefault="00CE4531" w:rsidP="008977FC">
            <w:pPr>
              <w:pStyle w:val="ListParagraph"/>
              <w:rPr>
                <w:szCs w:val="16"/>
              </w:rPr>
            </w:pPr>
            <w:r w:rsidRPr="00220635">
              <w:rPr>
                <w:szCs w:val="16"/>
              </w:rPr>
              <w:t xml:space="preserve">Can be used in women &gt;35 years who are obese, who smoke, </w:t>
            </w:r>
            <w:r w:rsidR="00FF24F6">
              <w:rPr>
                <w:szCs w:val="16"/>
              </w:rPr>
              <w:t>or</w:t>
            </w:r>
            <w:r w:rsidR="006C72BD">
              <w:rPr>
                <w:szCs w:val="16"/>
              </w:rPr>
              <w:t xml:space="preserve"> who </w:t>
            </w:r>
            <w:r w:rsidRPr="00220635">
              <w:rPr>
                <w:szCs w:val="16"/>
              </w:rPr>
              <w:t>ha</w:t>
            </w:r>
            <w:r w:rsidR="00FF24F6">
              <w:rPr>
                <w:szCs w:val="16"/>
              </w:rPr>
              <w:t>ve</w:t>
            </w:r>
            <w:r w:rsidRPr="00220635">
              <w:rPr>
                <w:szCs w:val="16"/>
              </w:rPr>
              <w:t xml:space="preserve"> diabetes, hypertension, or a history of venous thromboembolism.</w:t>
            </w:r>
          </w:p>
        </w:tc>
        <w:tc>
          <w:tcPr>
            <w:tcW w:w="1820" w:type="pct"/>
          </w:tcPr>
          <w:p w14:paraId="555AC7B5" w14:textId="10024E20" w:rsidR="00CE4531" w:rsidRPr="00220635" w:rsidRDefault="00CE4531" w:rsidP="008977FC">
            <w:pPr>
              <w:pStyle w:val="ListParagraph"/>
              <w:rPr>
                <w:szCs w:val="16"/>
              </w:rPr>
            </w:pPr>
            <w:r w:rsidRPr="00220635">
              <w:rPr>
                <w:szCs w:val="16"/>
              </w:rPr>
              <w:t>Delayed return to fertility of up to  9 months, after last injection.</w:t>
            </w:r>
          </w:p>
          <w:p w14:paraId="16AC4BCA" w14:textId="77777777" w:rsidR="00CE4531" w:rsidRPr="00220635" w:rsidRDefault="00CE4531" w:rsidP="008977FC">
            <w:pPr>
              <w:pStyle w:val="ListParagraph"/>
              <w:rPr>
                <w:szCs w:val="16"/>
              </w:rPr>
            </w:pPr>
            <w:r w:rsidRPr="00220635">
              <w:rPr>
                <w:szCs w:val="16"/>
              </w:rPr>
              <w:t>Frequent bleeding irregularities (irregular, prolonged and/or heavy bleeding, or amenorrhoea).</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CE4531" w:rsidRPr="00220635" w14:paraId="518A55B8" w14:textId="77777777" w:rsidTr="008977FC">
              <w:tc>
                <w:tcPr>
                  <w:tcW w:w="907" w:type="dxa"/>
                  <w:shd w:val="clear" w:color="auto" w:fill="FFFFFF" w:themeFill="background1"/>
                </w:tcPr>
                <w:p w14:paraId="6AE44079" w14:textId="085FB71B" w:rsidR="00CE4531" w:rsidRPr="00220635" w:rsidRDefault="00CE4531" w:rsidP="008977FC">
                  <w:pPr>
                    <w:pStyle w:val="LoEText"/>
                    <w:framePr w:hSpace="0" w:wrap="auto" w:vAnchor="margin" w:hAnchor="text" w:xAlign="left" w:yAlign="inline"/>
                    <w:suppressOverlap w:val="0"/>
                  </w:pPr>
                  <w:proofErr w:type="spellStart"/>
                  <w:r w:rsidRPr="00220635">
                    <w:t>LoE:III</w:t>
                  </w:r>
                  <w:r w:rsidR="00457199">
                    <w:t>b</w:t>
                  </w:r>
                  <w:proofErr w:type="spellEnd"/>
                  <w:r w:rsidRPr="00220635">
                    <w:rPr>
                      <w:rStyle w:val="EndnoteReference8"/>
                    </w:rPr>
                    <w:endnoteReference w:id="4"/>
                  </w:r>
                </w:p>
              </w:tc>
            </w:tr>
          </w:tbl>
          <w:p w14:paraId="4307661C" w14:textId="77777777" w:rsidR="00CE4531" w:rsidRPr="00220635" w:rsidRDefault="00CE4531" w:rsidP="00F70525">
            <w:pPr>
              <w:pStyle w:val="NoSpacing"/>
              <w:rPr>
                <w:szCs w:val="16"/>
              </w:rPr>
            </w:pPr>
          </w:p>
          <w:p w14:paraId="0DE51A17" w14:textId="77777777" w:rsidR="00CE4531" w:rsidRPr="00220635" w:rsidRDefault="00CE4531" w:rsidP="00F70525">
            <w:pPr>
              <w:pStyle w:val="NoSpacing"/>
              <w:rPr>
                <w:szCs w:val="16"/>
              </w:rPr>
            </w:pPr>
          </w:p>
        </w:tc>
      </w:tr>
      <w:tr w:rsidR="00976CB8" w:rsidRPr="00220635" w14:paraId="766078D1" w14:textId="77777777" w:rsidTr="00EC01F3">
        <w:tc>
          <w:tcPr>
            <w:tcW w:w="1164" w:type="pct"/>
          </w:tcPr>
          <w:p w14:paraId="486D9A1F" w14:textId="77777777" w:rsidR="00CE4531" w:rsidRPr="00220635" w:rsidRDefault="00CE4531" w:rsidP="00F70525">
            <w:pPr>
              <w:pStyle w:val="NoSpacing"/>
              <w:rPr>
                <w:szCs w:val="16"/>
              </w:rPr>
            </w:pPr>
            <w:r w:rsidRPr="00220635">
              <w:rPr>
                <w:szCs w:val="16"/>
              </w:rPr>
              <w:t>Hormonal oral:</w:t>
            </w:r>
          </w:p>
          <w:p w14:paraId="2FBE65DD" w14:textId="77777777" w:rsidR="00CE4531" w:rsidRPr="00220635" w:rsidRDefault="00CE4531" w:rsidP="00F70525">
            <w:pPr>
              <w:pStyle w:val="NoSpacing"/>
              <w:rPr>
                <w:szCs w:val="16"/>
              </w:rPr>
            </w:pPr>
            <w:r w:rsidRPr="00220635">
              <w:rPr>
                <w:szCs w:val="16"/>
              </w:rPr>
              <w:t>progestin-only (see Section 7.2.3)</w:t>
            </w:r>
          </w:p>
          <w:p w14:paraId="36569784" w14:textId="77777777" w:rsidR="00CE4531" w:rsidRPr="00220635" w:rsidRDefault="00CE4531" w:rsidP="00F70525">
            <w:pPr>
              <w:pStyle w:val="NoSpacing"/>
              <w:rPr>
                <w:szCs w:val="16"/>
              </w:rPr>
            </w:pPr>
          </w:p>
        </w:tc>
        <w:tc>
          <w:tcPr>
            <w:tcW w:w="2016" w:type="pct"/>
          </w:tcPr>
          <w:p w14:paraId="32FF80B1" w14:textId="77777777" w:rsidR="00CE4531" w:rsidRPr="00220635" w:rsidRDefault="00CE4531" w:rsidP="005168F5">
            <w:pPr>
              <w:pStyle w:val="ListParagraph"/>
              <w:rPr>
                <w:szCs w:val="16"/>
              </w:rPr>
            </w:pPr>
            <w:r w:rsidRPr="00220635">
              <w:rPr>
                <w:szCs w:val="16"/>
              </w:rPr>
              <w:t>Fertility returns within 3 months of discontinuing the pill.</w:t>
            </w:r>
          </w:p>
          <w:p w14:paraId="0EF8C2B2" w14:textId="77777777" w:rsidR="00CE4531" w:rsidRPr="00220635" w:rsidRDefault="00CE4531" w:rsidP="005168F5">
            <w:pPr>
              <w:pStyle w:val="ListParagraph"/>
              <w:rPr>
                <w:szCs w:val="16"/>
              </w:rPr>
            </w:pPr>
            <w:r w:rsidRPr="00220635">
              <w:rPr>
                <w:szCs w:val="16"/>
              </w:rPr>
              <w:t>Can be used postpartum.</w:t>
            </w:r>
          </w:p>
          <w:p w14:paraId="7851E992" w14:textId="437BD254" w:rsidR="00CE4531" w:rsidRPr="00220635" w:rsidRDefault="00CE4531" w:rsidP="005168F5">
            <w:pPr>
              <w:pStyle w:val="ListParagraph"/>
              <w:rPr>
                <w:szCs w:val="16"/>
              </w:rPr>
            </w:pPr>
            <w:r w:rsidRPr="00220635">
              <w:rPr>
                <w:szCs w:val="16"/>
              </w:rPr>
              <w:t>Can be used in women &gt;35 years who are obese, who smoke,</w:t>
            </w:r>
            <w:r w:rsidR="00F064E6">
              <w:rPr>
                <w:szCs w:val="16"/>
              </w:rPr>
              <w:t xml:space="preserve"> or who have</w:t>
            </w:r>
            <w:r w:rsidRPr="00220635">
              <w:rPr>
                <w:szCs w:val="16"/>
              </w:rPr>
              <w:t xml:space="preserve"> diabetes, hypertension, or a history of venous thromboembolism.</w:t>
            </w:r>
          </w:p>
        </w:tc>
        <w:tc>
          <w:tcPr>
            <w:tcW w:w="1820" w:type="pct"/>
          </w:tcPr>
          <w:p w14:paraId="797A8E1B" w14:textId="77777777" w:rsidR="00CE4531" w:rsidRPr="00220635" w:rsidRDefault="00CE4531" w:rsidP="005168F5">
            <w:pPr>
              <w:pStyle w:val="ListParagraph"/>
              <w:rPr>
                <w:szCs w:val="16"/>
              </w:rPr>
            </w:pPr>
            <w:r w:rsidRPr="00220635">
              <w:rPr>
                <w:szCs w:val="16"/>
              </w:rPr>
              <w:t xml:space="preserve">Daily adherence is required. </w:t>
            </w:r>
          </w:p>
          <w:p w14:paraId="6DAA9C9D" w14:textId="77777777" w:rsidR="00CE4531" w:rsidRPr="00220635" w:rsidRDefault="00CE4531" w:rsidP="005168F5">
            <w:pPr>
              <w:pStyle w:val="ListParagraph"/>
              <w:rPr>
                <w:szCs w:val="16"/>
              </w:rPr>
            </w:pPr>
            <w:r w:rsidRPr="00220635">
              <w:rPr>
                <w:szCs w:val="16"/>
              </w:rPr>
              <w:t>Interactions with other medicines can lower contraceptive effect.</w:t>
            </w:r>
          </w:p>
          <w:p w14:paraId="45472826" w14:textId="77777777" w:rsidR="00CE4531" w:rsidRPr="00220635" w:rsidRDefault="00CE4531" w:rsidP="005168F5">
            <w:pPr>
              <w:pStyle w:val="ListParagraph"/>
              <w:rPr>
                <w:szCs w:val="16"/>
              </w:rPr>
            </w:pPr>
            <w:r w:rsidRPr="00220635">
              <w:rPr>
                <w:szCs w:val="16"/>
              </w:rPr>
              <w:t>Lower efficacy compared with COC.</w:t>
            </w:r>
          </w:p>
          <w:p w14:paraId="55DC100C" w14:textId="77777777" w:rsidR="00CE4531" w:rsidRPr="00220635" w:rsidRDefault="00CE4531" w:rsidP="005168F5">
            <w:pPr>
              <w:pStyle w:val="ListParagraph"/>
              <w:rPr>
                <w:szCs w:val="16"/>
              </w:rPr>
            </w:pPr>
            <w:r w:rsidRPr="00220635">
              <w:rPr>
                <w:szCs w:val="16"/>
              </w:rPr>
              <w:t>Frequent bleeding irregularities.</w:t>
            </w:r>
          </w:p>
        </w:tc>
      </w:tr>
      <w:tr w:rsidR="00976CB8" w:rsidRPr="00220635" w14:paraId="3A09C0D7" w14:textId="77777777" w:rsidTr="00EC01F3">
        <w:tc>
          <w:tcPr>
            <w:tcW w:w="1164" w:type="pct"/>
          </w:tcPr>
          <w:p w14:paraId="6E07EFAC" w14:textId="77777777" w:rsidR="00CE4531" w:rsidRPr="00220635" w:rsidRDefault="00CE4531" w:rsidP="00F70525">
            <w:pPr>
              <w:pStyle w:val="NoSpacing"/>
              <w:rPr>
                <w:szCs w:val="16"/>
              </w:rPr>
            </w:pPr>
            <w:r w:rsidRPr="00220635">
              <w:rPr>
                <w:szCs w:val="16"/>
              </w:rPr>
              <w:t>Hormonal oral:</w:t>
            </w:r>
          </w:p>
          <w:p w14:paraId="41827C2A" w14:textId="77777777" w:rsidR="00CE4531" w:rsidRPr="00220635" w:rsidRDefault="00CE4531" w:rsidP="00F70525">
            <w:pPr>
              <w:pStyle w:val="NoSpacing"/>
              <w:rPr>
                <w:szCs w:val="16"/>
              </w:rPr>
            </w:pPr>
            <w:r w:rsidRPr="00220635">
              <w:rPr>
                <w:szCs w:val="16"/>
              </w:rPr>
              <w:t xml:space="preserve">combined oral contraceptive (COC) </w:t>
            </w:r>
          </w:p>
          <w:p w14:paraId="45E239A3" w14:textId="77777777" w:rsidR="00CE4531" w:rsidRPr="00220635" w:rsidRDefault="00CE4531" w:rsidP="00F70525">
            <w:pPr>
              <w:pStyle w:val="NoSpacing"/>
              <w:rPr>
                <w:szCs w:val="16"/>
              </w:rPr>
            </w:pPr>
            <w:r w:rsidRPr="00220635">
              <w:rPr>
                <w:szCs w:val="16"/>
              </w:rPr>
              <w:t>(see Sections 7.2.3 and 7.2.4)</w:t>
            </w:r>
          </w:p>
          <w:p w14:paraId="12CA0F04" w14:textId="77777777" w:rsidR="00CE4531" w:rsidRPr="00220635" w:rsidRDefault="00CE4531" w:rsidP="00F70525">
            <w:pPr>
              <w:pStyle w:val="NoSpacing"/>
              <w:rPr>
                <w:szCs w:val="16"/>
              </w:rPr>
            </w:pPr>
          </w:p>
        </w:tc>
        <w:tc>
          <w:tcPr>
            <w:tcW w:w="2016" w:type="pct"/>
          </w:tcPr>
          <w:p w14:paraId="6CAEB609" w14:textId="2D328701" w:rsidR="00CE4531" w:rsidRPr="00220635" w:rsidRDefault="00CE4531" w:rsidP="005168F5">
            <w:pPr>
              <w:pStyle w:val="ListParagraph"/>
              <w:rPr>
                <w:szCs w:val="16"/>
              </w:rPr>
            </w:pPr>
            <w:r w:rsidRPr="00220635">
              <w:rPr>
                <w:szCs w:val="16"/>
              </w:rPr>
              <w:t>Non-contraceptive benefits, e.g.: alleviation of dysmenorrhoea, premenstrual syndrome</w:t>
            </w:r>
            <w:r w:rsidR="005A54D1">
              <w:rPr>
                <w:szCs w:val="16"/>
              </w:rPr>
              <w:t>,</w:t>
            </w:r>
            <w:r w:rsidRPr="00220635">
              <w:rPr>
                <w:szCs w:val="16"/>
              </w:rPr>
              <w:t xml:space="preserve"> and menorrhagia.</w:t>
            </w:r>
          </w:p>
          <w:p w14:paraId="058A7035" w14:textId="77777777" w:rsidR="00CE4531" w:rsidRPr="00220635" w:rsidRDefault="00CE4531" w:rsidP="005168F5">
            <w:pPr>
              <w:pStyle w:val="ListParagraph"/>
              <w:rPr>
                <w:szCs w:val="16"/>
              </w:rPr>
            </w:pPr>
            <w:r w:rsidRPr="00220635">
              <w:rPr>
                <w:szCs w:val="16"/>
              </w:rPr>
              <w:t>Fertility returns within 3 months of discontinuing COC.</w:t>
            </w:r>
          </w:p>
        </w:tc>
        <w:tc>
          <w:tcPr>
            <w:tcW w:w="1820" w:type="pct"/>
          </w:tcPr>
          <w:p w14:paraId="2AFF5B53" w14:textId="77777777" w:rsidR="00CE4531" w:rsidRPr="00220635" w:rsidRDefault="00CE4531" w:rsidP="005168F5">
            <w:pPr>
              <w:pStyle w:val="ListParagraph"/>
              <w:rPr>
                <w:szCs w:val="16"/>
              </w:rPr>
            </w:pPr>
            <w:r w:rsidRPr="00220635">
              <w:rPr>
                <w:szCs w:val="16"/>
              </w:rPr>
              <w:t xml:space="preserve">Daily adherence is required. </w:t>
            </w:r>
          </w:p>
          <w:p w14:paraId="215F503A" w14:textId="77777777" w:rsidR="00CE4531" w:rsidRPr="00220635" w:rsidRDefault="00CE4531" w:rsidP="005168F5">
            <w:pPr>
              <w:pStyle w:val="ListParagraph"/>
              <w:rPr>
                <w:szCs w:val="16"/>
              </w:rPr>
            </w:pPr>
            <w:r w:rsidRPr="00220635">
              <w:rPr>
                <w:szCs w:val="16"/>
              </w:rPr>
              <w:t>Interactions with other medicines can lower contraceptive effect.</w:t>
            </w:r>
          </w:p>
          <w:p w14:paraId="5D27537F" w14:textId="77777777" w:rsidR="00595B0C" w:rsidRDefault="00CE4531" w:rsidP="005168F5">
            <w:pPr>
              <w:pStyle w:val="ListParagraph"/>
              <w:rPr>
                <w:szCs w:val="16"/>
              </w:rPr>
            </w:pPr>
            <w:r w:rsidRPr="00220635">
              <w:rPr>
                <w:szCs w:val="16"/>
              </w:rPr>
              <w:t xml:space="preserve">Cannot be used in women with </w:t>
            </w:r>
            <w:r w:rsidR="00595B0C">
              <w:t xml:space="preserve">venous thrombo-embolic disease. </w:t>
            </w:r>
          </w:p>
          <w:p w14:paraId="63B88D18" w14:textId="450147AB" w:rsidR="00CE4531" w:rsidRPr="00220635" w:rsidRDefault="00CE4531" w:rsidP="005168F5">
            <w:pPr>
              <w:pStyle w:val="ListParagraph"/>
              <w:rPr>
                <w:szCs w:val="16"/>
              </w:rPr>
            </w:pPr>
            <w:r w:rsidRPr="00220635">
              <w:rPr>
                <w:szCs w:val="16"/>
              </w:rPr>
              <w:t>Cannot be used immediately postpartum.</w:t>
            </w:r>
          </w:p>
        </w:tc>
      </w:tr>
      <w:tr w:rsidR="00976CB8" w:rsidRPr="00220635" w14:paraId="0C903760" w14:textId="77777777" w:rsidTr="00EC01F3">
        <w:trPr>
          <w:trHeight w:val="47"/>
        </w:trPr>
        <w:tc>
          <w:tcPr>
            <w:tcW w:w="1164" w:type="pct"/>
          </w:tcPr>
          <w:p w14:paraId="2337B9E5" w14:textId="77777777" w:rsidR="00CE4531" w:rsidRPr="00220635" w:rsidRDefault="00CE4531" w:rsidP="00F70525">
            <w:pPr>
              <w:pStyle w:val="NoSpacing"/>
              <w:rPr>
                <w:szCs w:val="16"/>
              </w:rPr>
            </w:pPr>
            <w:r w:rsidRPr="00220635">
              <w:rPr>
                <w:szCs w:val="16"/>
              </w:rPr>
              <w:t>Barrier: male and female condoms (see Section 7.3)</w:t>
            </w:r>
          </w:p>
          <w:p w14:paraId="2BE34C1A" w14:textId="77777777" w:rsidR="00CE4531" w:rsidRPr="00220635" w:rsidRDefault="00CE4531" w:rsidP="00F70525">
            <w:pPr>
              <w:pStyle w:val="NoSpacing"/>
              <w:rPr>
                <w:szCs w:val="16"/>
              </w:rPr>
            </w:pPr>
          </w:p>
        </w:tc>
        <w:tc>
          <w:tcPr>
            <w:tcW w:w="2016" w:type="pct"/>
          </w:tcPr>
          <w:p w14:paraId="49EB46FA" w14:textId="77777777" w:rsidR="00CE4531" w:rsidRPr="00220635" w:rsidRDefault="00CE4531" w:rsidP="005168F5">
            <w:pPr>
              <w:pStyle w:val="ListParagraph"/>
              <w:rPr>
                <w:szCs w:val="16"/>
              </w:rPr>
            </w:pPr>
            <w:r w:rsidRPr="00220635">
              <w:rPr>
                <w:szCs w:val="16"/>
              </w:rPr>
              <w:t>Protects against STIs, including HIV.</w:t>
            </w:r>
          </w:p>
        </w:tc>
        <w:tc>
          <w:tcPr>
            <w:tcW w:w="1820" w:type="pct"/>
          </w:tcPr>
          <w:p w14:paraId="620ED43D" w14:textId="77777777" w:rsidR="00CE4531" w:rsidRPr="00220635" w:rsidRDefault="00CE4531" w:rsidP="005168F5">
            <w:pPr>
              <w:pStyle w:val="ListParagraph"/>
              <w:rPr>
                <w:szCs w:val="16"/>
              </w:rPr>
            </w:pPr>
            <w:r w:rsidRPr="00220635">
              <w:rPr>
                <w:szCs w:val="16"/>
              </w:rPr>
              <w:t>Possibility of breakage or slipping off.</w:t>
            </w:r>
          </w:p>
          <w:p w14:paraId="6DF105D1" w14:textId="77777777" w:rsidR="00CE4531" w:rsidRPr="00220635" w:rsidRDefault="00CE4531" w:rsidP="005168F5">
            <w:pPr>
              <w:pStyle w:val="ListParagraph"/>
              <w:rPr>
                <w:szCs w:val="16"/>
              </w:rPr>
            </w:pPr>
            <w:r w:rsidRPr="00220635">
              <w:rPr>
                <w:szCs w:val="16"/>
              </w:rPr>
              <w:t>Possible allergic reaction to latex.</w:t>
            </w:r>
          </w:p>
          <w:p w14:paraId="52792513" w14:textId="1FC540A4" w:rsidR="00CE4531" w:rsidRPr="00220635" w:rsidRDefault="00CE4531" w:rsidP="005168F5">
            <w:pPr>
              <w:pStyle w:val="ListParagraph"/>
              <w:rPr>
                <w:szCs w:val="16"/>
              </w:rPr>
            </w:pPr>
            <w:r w:rsidRPr="00220635">
              <w:rPr>
                <w:szCs w:val="16"/>
              </w:rPr>
              <w:t>Lower efficacy than other contraceptive methods therefore advised as dual contraception.</w:t>
            </w:r>
          </w:p>
        </w:tc>
      </w:tr>
      <w:tr w:rsidR="005168F5" w:rsidRPr="00220635" w14:paraId="5A364268" w14:textId="77777777" w:rsidTr="00EC01F3">
        <w:trPr>
          <w:cnfStyle w:val="010000000000" w:firstRow="0" w:lastRow="1" w:firstColumn="0" w:lastColumn="0" w:oddVBand="0" w:evenVBand="0" w:oddHBand="0" w:evenHBand="0" w:firstRowFirstColumn="0" w:firstRowLastColumn="0" w:lastRowFirstColumn="0" w:lastRowLastColumn="0"/>
          <w:trHeight w:val="47"/>
        </w:trPr>
        <w:tc>
          <w:tcPr>
            <w:tcW w:w="5000" w:type="pct"/>
            <w:gridSpan w:val="3"/>
          </w:tcPr>
          <w:p w14:paraId="13A91FD1" w14:textId="3B940F8A" w:rsidR="005168F5" w:rsidRPr="00220635" w:rsidRDefault="005168F5" w:rsidP="00CD24D3">
            <w:pPr>
              <w:pStyle w:val="NoSpacing"/>
              <w:rPr>
                <w:sz w:val="16"/>
                <w:szCs w:val="16"/>
              </w:rPr>
            </w:pPr>
            <w:r w:rsidRPr="00220635">
              <w:rPr>
                <w:sz w:val="16"/>
                <w:szCs w:val="16"/>
              </w:rPr>
              <w:t>(Refer to the most recent SAHPRA registered package inserts for detailed information).</w:t>
            </w:r>
          </w:p>
        </w:tc>
      </w:tr>
    </w:tbl>
    <w:p w14:paraId="52F0E273" w14:textId="0EC2CEA5" w:rsidR="00EC01F3" w:rsidRDefault="00EC01F3" w:rsidP="00DC6DD6">
      <w:pPr>
        <w:pStyle w:val="Heading7"/>
      </w:pPr>
    </w:p>
    <w:p w14:paraId="627E51CD" w14:textId="5A840387" w:rsidR="0077129E" w:rsidRDefault="0077129E" w:rsidP="0077129E"/>
    <w:p w14:paraId="1588358D" w14:textId="750DC0D3" w:rsidR="0077129E" w:rsidRDefault="0077129E" w:rsidP="0077129E"/>
    <w:p w14:paraId="2BAB44C8" w14:textId="77777777" w:rsidR="0077129E" w:rsidRPr="0077129E" w:rsidRDefault="0077129E" w:rsidP="0077129E"/>
    <w:p w14:paraId="6E9E736F" w14:textId="7987345E" w:rsidR="00CE4531" w:rsidRPr="00220635" w:rsidRDefault="00CE4531" w:rsidP="00DC6DD6">
      <w:pPr>
        <w:pStyle w:val="Heading7"/>
      </w:pPr>
      <w:r w:rsidRPr="00220635">
        <w:lastRenderedPageBreak/>
        <w:t>Effectiveness of family planning methods</w:t>
      </w:r>
    </w:p>
    <w:p w14:paraId="4FBF597E" w14:textId="77777777" w:rsidR="00CE4531" w:rsidRPr="00220635" w:rsidRDefault="00CE4531" w:rsidP="00CE4531">
      <w:pPr>
        <w:pStyle w:val="NoSpacing"/>
      </w:pPr>
      <w:r w:rsidRPr="00220635">
        <w:t>Rates of unintended pregnancies per 100 women:</w:t>
      </w:r>
    </w:p>
    <w:tbl>
      <w:tblPr>
        <w:tblStyle w:val="SamplePHCTable"/>
        <w:tblW w:w="5000" w:type="pct"/>
        <w:tblLook w:val="04E0" w:firstRow="1" w:lastRow="1" w:firstColumn="1" w:lastColumn="0" w:noHBand="0" w:noVBand="1"/>
      </w:tblPr>
      <w:tblGrid>
        <w:gridCol w:w="3134"/>
        <w:gridCol w:w="1139"/>
        <w:gridCol w:w="1204"/>
        <w:gridCol w:w="1202"/>
      </w:tblGrid>
      <w:tr w:rsidR="005F66DC" w:rsidRPr="00220635" w14:paraId="44F9943F" w14:textId="77777777" w:rsidTr="00F70525">
        <w:trPr>
          <w:cnfStyle w:val="100000000000" w:firstRow="1" w:lastRow="0" w:firstColumn="0" w:lastColumn="0" w:oddVBand="0" w:evenVBand="0" w:oddHBand="0" w:evenHBand="0" w:firstRowFirstColumn="0" w:firstRowLastColumn="0" w:lastRowFirstColumn="0" w:lastRowLastColumn="0"/>
        </w:trPr>
        <w:tc>
          <w:tcPr>
            <w:tcW w:w="2346" w:type="pct"/>
            <w:vMerge w:val="restart"/>
          </w:tcPr>
          <w:p w14:paraId="7AD90D76" w14:textId="77777777" w:rsidR="005F66DC" w:rsidRPr="00220635" w:rsidRDefault="005F66DC" w:rsidP="00F70525">
            <w:pPr>
              <w:pStyle w:val="NoSpacing"/>
            </w:pPr>
            <w:r w:rsidRPr="00220635">
              <w:t>Contraceptive method</w:t>
            </w:r>
          </w:p>
        </w:tc>
        <w:tc>
          <w:tcPr>
            <w:tcW w:w="1754" w:type="pct"/>
            <w:gridSpan w:val="2"/>
          </w:tcPr>
          <w:p w14:paraId="73E66E23" w14:textId="77777777" w:rsidR="005F66DC" w:rsidRPr="00220635" w:rsidRDefault="005F66DC" w:rsidP="00F70525">
            <w:pPr>
              <w:pStyle w:val="NoSpacing"/>
            </w:pPr>
            <w:r w:rsidRPr="00220635">
              <w:t>Failure rate in 1</w:t>
            </w:r>
            <w:r w:rsidRPr="00220635">
              <w:rPr>
                <w:vertAlign w:val="superscript"/>
              </w:rPr>
              <w:t>st</w:t>
            </w:r>
            <w:r w:rsidRPr="00220635">
              <w:t xml:space="preserve"> year (%)</w:t>
            </w:r>
          </w:p>
        </w:tc>
        <w:tc>
          <w:tcPr>
            <w:tcW w:w="900" w:type="pct"/>
            <w:vMerge w:val="restart"/>
          </w:tcPr>
          <w:p w14:paraId="6A1C21BC" w14:textId="77777777" w:rsidR="005F66DC" w:rsidRPr="00220635" w:rsidRDefault="005F66DC" w:rsidP="00F70525">
            <w:pPr>
              <w:pStyle w:val="NoSpacing"/>
            </w:pPr>
            <w:r w:rsidRPr="00220635">
              <w:t>% of women continuing</w:t>
            </w:r>
          </w:p>
          <w:p w14:paraId="54470E39" w14:textId="77777777" w:rsidR="005F66DC" w:rsidRPr="00220635" w:rsidRDefault="005F66DC" w:rsidP="00F70525">
            <w:pPr>
              <w:pStyle w:val="NoSpacing"/>
            </w:pPr>
            <w:r w:rsidRPr="00220635">
              <w:t>use at one year</w:t>
            </w:r>
          </w:p>
        </w:tc>
      </w:tr>
      <w:tr w:rsidR="005F66DC" w:rsidRPr="00220635" w14:paraId="43391F84" w14:textId="77777777" w:rsidTr="00F70525">
        <w:trPr>
          <w:trHeight w:val="126"/>
        </w:trPr>
        <w:tc>
          <w:tcPr>
            <w:tcW w:w="2346" w:type="pct"/>
            <w:vMerge/>
          </w:tcPr>
          <w:p w14:paraId="35B9122C" w14:textId="77777777" w:rsidR="005F66DC" w:rsidRPr="00220635" w:rsidRDefault="005F66DC" w:rsidP="00F70525">
            <w:pPr>
              <w:pStyle w:val="NoSpacing"/>
            </w:pPr>
          </w:p>
        </w:tc>
        <w:tc>
          <w:tcPr>
            <w:tcW w:w="853" w:type="pct"/>
          </w:tcPr>
          <w:p w14:paraId="17FB014C" w14:textId="77777777" w:rsidR="005F66DC" w:rsidRPr="00220635" w:rsidRDefault="005F66DC" w:rsidP="00F70525">
            <w:pPr>
              <w:pStyle w:val="NoSpacing"/>
            </w:pPr>
            <w:r w:rsidRPr="00220635">
              <w:t>Consistent and</w:t>
            </w:r>
          </w:p>
          <w:p w14:paraId="136D75E3" w14:textId="77777777" w:rsidR="005F66DC" w:rsidRPr="00220635" w:rsidRDefault="005F66DC" w:rsidP="00F70525">
            <w:pPr>
              <w:pStyle w:val="NoSpacing"/>
            </w:pPr>
            <w:r w:rsidRPr="00220635">
              <w:t>correct use</w:t>
            </w:r>
          </w:p>
        </w:tc>
        <w:tc>
          <w:tcPr>
            <w:tcW w:w="901" w:type="pct"/>
          </w:tcPr>
          <w:p w14:paraId="69503E8F" w14:textId="77777777" w:rsidR="005F66DC" w:rsidRPr="00220635" w:rsidRDefault="005F66DC" w:rsidP="00F70525">
            <w:pPr>
              <w:pStyle w:val="NoSpacing"/>
            </w:pPr>
            <w:r w:rsidRPr="00220635">
              <w:t>As typically</w:t>
            </w:r>
          </w:p>
          <w:p w14:paraId="467CDD86" w14:textId="77777777" w:rsidR="005F66DC" w:rsidRPr="00220635" w:rsidRDefault="005F66DC" w:rsidP="00F70525">
            <w:pPr>
              <w:pStyle w:val="NoSpacing"/>
            </w:pPr>
            <w:r w:rsidRPr="00220635">
              <w:t>used</w:t>
            </w:r>
          </w:p>
        </w:tc>
        <w:tc>
          <w:tcPr>
            <w:tcW w:w="900" w:type="pct"/>
            <w:vMerge/>
          </w:tcPr>
          <w:p w14:paraId="3F4B34E6" w14:textId="77777777" w:rsidR="005F66DC" w:rsidRPr="00220635" w:rsidRDefault="005F66DC" w:rsidP="00F70525">
            <w:pPr>
              <w:pStyle w:val="NoSpacing"/>
            </w:pPr>
          </w:p>
        </w:tc>
      </w:tr>
      <w:tr w:rsidR="00F70525" w:rsidRPr="00220635" w14:paraId="79420B0A" w14:textId="77777777" w:rsidTr="00F70525">
        <w:trPr>
          <w:trHeight w:val="126"/>
        </w:trPr>
        <w:tc>
          <w:tcPr>
            <w:tcW w:w="2346" w:type="pct"/>
          </w:tcPr>
          <w:p w14:paraId="017ADB21" w14:textId="77777777" w:rsidR="00F70525" w:rsidRPr="00220635" w:rsidRDefault="00F70525" w:rsidP="00F70525">
            <w:pPr>
              <w:pStyle w:val="NoSpacing"/>
            </w:pPr>
            <w:r w:rsidRPr="00220635">
              <w:t>Copper IUCD</w:t>
            </w:r>
          </w:p>
        </w:tc>
        <w:tc>
          <w:tcPr>
            <w:tcW w:w="853" w:type="pct"/>
          </w:tcPr>
          <w:p w14:paraId="61354219" w14:textId="77777777" w:rsidR="00F70525" w:rsidRPr="00220635" w:rsidRDefault="00F70525" w:rsidP="00F70525">
            <w:pPr>
              <w:pStyle w:val="NoSpacing"/>
            </w:pPr>
            <w:r w:rsidRPr="00220635">
              <w:t>0.6</w:t>
            </w:r>
          </w:p>
        </w:tc>
        <w:tc>
          <w:tcPr>
            <w:tcW w:w="901" w:type="pct"/>
          </w:tcPr>
          <w:p w14:paraId="5335B35E" w14:textId="77777777" w:rsidR="00F70525" w:rsidRPr="00220635" w:rsidRDefault="00F70525" w:rsidP="00F70525">
            <w:pPr>
              <w:pStyle w:val="NoSpacing"/>
            </w:pPr>
            <w:r w:rsidRPr="00220635">
              <w:t>0.8</w:t>
            </w:r>
          </w:p>
        </w:tc>
        <w:tc>
          <w:tcPr>
            <w:tcW w:w="900" w:type="pct"/>
          </w:tcPr>
          <w:p w14:paraId="4E2EECDF" w14:textId="77777777" w:rsidR="00F70525" w:rsidRPr="00220635" w:rsidRDefault="00F70525" w:rsidP="00F70525">
            <w:pPr>
              <w:pStyle w:val="NoSpacing"/>
            </w:pPr>
            <w:r w:rsidRPr="00220635">
              <w:t>78</w:t>
            </w:r>
          </w:p>
        </w:tc>
      </w:tr>
      <w:tr w:rsidR="00F70525" w:rsidRPr="00220635" w14:paraId="71756C8B" w14:textId="77777777" w:rsidTr="00F70525">
        <w:trPr>
          <w:trHeight w:val="126"/>
        </w:trPr>
        <w:tc>
          <w:tcPr>
            <w:tcW w:w="2346" w:type="pct"/>
          </w:tcPr>
          <w:p w14:paraId="75AE6B47" w14:textId="3D74D20D" w:rsidR="00F70525" w:rsidRPr="00220635" w:rsidRDefault="00CF7176" w:rsidP="004A5A14">
            <w:pPr>
              <w:pStyle w:val="NoSpacing"/>
            </w:pPr>
            <w:r w:rsidRPr="00220635">
              <w:t>LNG-</w:t>
            </w:r>
            <w:r w:rsidR="004A5A14" w:rsidRPr="00220635">
              <w:t>IUD</w:t>
            </w:r>
          </w:p>
        </w:tc>
        <w:tc>
          <w:tcPr>
            <w:tcW w:w="853" w:type="pct"/>
          </w:tcPr>
          <w:p w14:paraId="3F566B51" w14:textId="77777777" w:rsidR="00F70525" w:rsidRPr="00220635" w:rsidRDefault="00F70525" w:rsidP="00F70525">
            <w:pPr>
              <w:pStyle w:val="NoSpacing"/>
            </w:pPr>
            <w:r w:rsidRPr="00220635">
              <w:t>0.2</w:t>
            </w:r>
          </w:p>
        </w:tc>
        <w:tc>
          <w:tcPr>
            <w:tcW w:w="901" w:type="pct"/>
          </w:tcPr>
          <w:p w14:paraId="715FEB3F" w14:textId="77777777" w:rsidR="00F70525" w:rsidRPr="00220635" w:rsidRDefault="00F70525" w:rsidP="00F70525">
            <w:pPr>
              <w:pStyle w:val="NoSpacing"/>
            </w:pPr>
            <w:r w:rsidRPr="00220635">
              <w:t>0.2</w:t>
            </w:r>
          </w:p>
        </w:tc>
        <w:tc>
          <w:tcPr>
            <w:tcW w:w="900" w:type="pct"/>
          </w:tcPr>
          <w:p w14:paraId="07D0D483" w14:textId="77777777" w:rsidR="00F70525" w:rsidRPr="00220635" w:rsidRDefault="00F70525" w:rsidP="00F70525">
            <w:pPr>
              <w:pStyle w:val="NoSpacing"/>
            </w:pPr>
            <w:r w:rsidRPr="00220635">
              <w:t>80</w:t>
            </w:r>
          </w:p>
        </w:tc>
      </w:tr>
      <w:tr w:rsidR="00F70525" w:rsidRPr="00220635" w14:paraId="7D6A79D2" w14:textId="77777777" w:rsidTr="00F70525">
        <w:tc>
          <w:tcPr>
            <w:tcW w:w="2346" w:type="pct"/>
          </w:tcPr>
          <w:p w14:paraId="40D21139" w14:textId="77777777" w:rsidR="00F70525" w:rsidRPr="00220635" w:rsidRDefault="00F70525" w:rsidP="00F70525">
            <w:pPr>
              <w:pStyle w:val="NoSpacing"/>
            </w:pPr>
            <w:r w:rsidRPr="00220635">
              <w:t>Progestin-only subdermal implant</w:t>
            </w:r>
          </w:p>
        </w:tc>
        <w:tc>
          <w:tcPr>
            <w:tcW w:w="853" w:type="pct"/>
          </w:tcPr>
          <w:p w14:paraId="55EB93F1" w14:textId="77777777" w:rsidR="00F70525" w:rsidRPr="00220635" w:rsidRDefault="00F70525" w:rsidP="00F70525">
            <w:pPr>
              <w:pStyle w:val="NoSpacing"/>
            </w:pPr>
            <w:r w:rsidRPr="00220635">
              <w:t>0.05</w:t>
            </w:r>
          </w:p>
        </w:tc>
        <w:tc>
          <w:tcPr>
            <w:tcW w:w="901" w:type="pct"/>
          </w:tcPr>
          <w:p w14:paraId="49977564" w14:textId="77777777" w:rsidR="00F70525" w:rsidRPr="00220635" w:rsidRDefault="00F70525" w:rsidP="00F70525">
            <w:pPr>
              <w:pStyle w:val="NoSpacing"/>
            </w:pPr>
            <w:r w:rsidRPr="00220635">
              <w:t>0.05</w:t>
            </w:r>
          </w:p>
        </w:tc>
        <w:tc>
          <w:tcPr>
            <w:tcW w:w="900" w:type="pct"/>
          </w:tcPr>
          <w:p w14:paraId="527F6C4C" w14:textId="77777777" w:rsidR="00F70525" w:rsidRPr="00220635" w:rsidRDefault="00BE3516" w:rsidP="00F70525">
            <w:pPr>
              <w:pStyle w:val="NoSpacing"/>
            </w:pPr>
            <w:r w:rsidRPr="00220635">
              <w:t>84</w:t>
            </w:r>
          </w:p>
        </w:tc>
      </w:tr>
      <w:tr w:rsidR="00F70525" w:rsidRPr="00220635" w14:paraId="44DDC0F7" w14:textId="77777777" w:rsidTr="00F70525">
        <w:tc>
          <w:tcPr>
            <w:tcW w:w="2346" w:type="pct"/>
          </w:tcPr>
          <w:p w14:paraId="78D061CD" w14:textId="77777777" w:rsidR="00F70525" w:rsidRPr="00220635" w:rsidRDefault="00F70525" w:rsidP="00F70525">
            <w:pPr>
              <w:pStyle w:val="NoSpacing"/>
            </w:pPr>
            <w:r w:rsidRPr="00220635">
              <w:t>Progestin-only injectable</w:t>
            </w:r>
          </w:p>
        </w:tc>
        <w:tc>
          <w:tcPr>
            <w:tcW w:w="853" w:type="pct"/>
          </w:tcPr>
          <w:p w14:paraId="6D44E0B1" w14:textId="77777777" w:rsidR="00F70525" w:rsidRPr="00220635" w:rsidRDefault="00F70525" w:rsidP="00F70525">
            <w:pPr>
              <w:pStyle w:val="NoSpacing"/>
            </w:pPr>
            <w:r w:rsidRPr="00220635">
              <w:t xml:space="preserve">0.3 </w:t>
            </w:r>
          </w:p>
        </w:tc>
        <w:tc>
          <w:tcPr>
            <w:tcW w:w="901" w:type="pct"/>
          </w:tcPr>
          <w:p w14:paraId="066CE3CF" w14:textId="77777777" w:rsidR="00F70525" w:rsidRPr="00220635" w:rsidRDefault="00F70525" w:rsidP="00F70525">
            <w:pPr>
              <w:pStyle w:val="NoSpacing"/>
            </w:pPr>
            <w:r w:rsidRPr="00220635">
              <w:t xml:space="preserve">3 </w:t>
            </w:r>
          </w:p>
        </w:tc>
        <w:tc>
          <w:tcPr>
            <w:tcW w:w="900" w:type="pct"/>
          </w:tcPr>
          <w:p w14:paraId="1A6C3945" w14:textId="77777777" w:rsidR="00F70525" w:rsidRPr="00220635" w:rsidRDefault="00BE3516" w:rsidP="00F70525">
            <w:pPr>
              <w:pStyle w:val="NoSpacing"/>
            </w:pPr>
            <w:r w:rsidRPr="00220635">
              <w:t>56</w:t>
            </w:r>
          </w:p>
        </w:tc>
      </w:tr>
      <w:tr w:rsidR="00F70525" w:rsidRPr="00220635" w14:paraId="526433C8" w14:textId="77777777" w:rsidTr="00F70525">
        <w:tc>
          <w:tcPr>
            <w:tcW w:w="2346" w:type="pct"/>
          </w:tcPr>
          <w:p w14:paraId="0A40A6B7" w14:textId="77777777" w:rsidR="00F70525" w:rsidRPr="00220635" w:rsidRDefault="00F70525" w:rsidP="00F70525">
            <w:pPr>
              <w:pStyle w:val="NoSpacing"/>
            </w:pPr>
            <w:r w:rsidRPr="00220635">
              <w:t>Progestin-only oral pill (not breastfeeding)</w:t>
            </w:r>
          </w:p>
        </w:tc>
        <w:tc>
          <w:tcPr>
            <w:tcW w:w="853" w:type="pct"/>
          </w:tcPr>
          <w:p w14:paraId="6D486BEE" w14:textId="77777777" w:rsidR="00F70525" w:rsidRPr="00220635" w:rsidRDefault="00F70525" w:rsidP="00F70525">
            <w:pPr>
              <w:pStyle w:val="NoSpacing"/>
            </w:pPr>
            <w:r w:rsidRPr="00220635">
              <w:t xml:space="preserve">0.3 </w:t>
            </w:r>
          </w:p>
        </w:tc>
        <w:tc>
          <w:tcPr>
            <w:tcW w:w="901" w:type="pct"/>
          </w:tcPr>
          <w:p w14:paraId="0E61852C" w14:textId="77777777" w:rsidR="00F70525" w:rsidRPr="00220635" w:rsidRDefault="00F70525" w:rsidP="00F70525">
            <w:pPr>
              <w:pStyle w:val="NoSpacing"/>
            </w:pPr>
            <w:r w:rsidRPr="00220635">
              <w:t>8</w:t>
            </w:r>
          </w:p>
        </w:tc>
        <w:tc>
          <w:tcPr>
            <w:tcW w:w="900" w:type="pct"/>
          </w:tcPr>
          <w:p w14:paraId="4E3E9843" w14:textId="77777777" w:rsidR="00F70525" w:rsidRPr="00220635" w:rsidRDefault="00BE3516" w:rsidP="00F70525">
            <w:pPr>
              <w:pStyle w:val="NoSpacing"/>
            </w:pPr>
            <w:r w:rsidRPr="00220635">
              <w:t>67</w:t>
            </w:r>
          </w:p>
        </w:tc>
      </w:tr>
      <w:tr w:rsidR="00F70525" w:rsidRPr="00220635" w14:paraId="13D4271F" w14:textId="77777777" w:rsidTr="00F70525">
        <w:tc>
          <w:tcPr>
            <w:tcW w:w="2346" w:type="pct"/>
          </w:tcPr>
          <w:p w14:paraId="692359A5" w14:textId="77777777" w:rsidR="00F70525" w:rsidRPr="00220635" w:rsidRDefault="00F70525" w:rsidP="00F70525">
            <w:pPr>
              <w:pStyle w:val="NoSpacing"/>
            </w:pPr>
            <w:r w:rsidRPr="00220635">
              <w:t>Progestin-only oral pill (during breast feeding)</w:t>
            </w:r>
          </w:p>
        </w:tc>
        <w:tc>
          <w:tcPr>
            <w:tcW w:w="853" w:type="pct"/>
          </w:tcPr>
          <w:p w14:paraId="0C32EE8E" w14:textId="77777777" w:rsidR="00F70525" w:rsidRPr="00220635" w:rsidRDefault="00F70525" w:rsidP="00F70525">
            <w:pPr>
              <w:pStyle w:val="NoSpacing"/>
            </w:pPr>
            <w:r w:rsidRPr="00220635">
              <w:t>0.5</w:t>
            </w:r>
          </w:p>
        </w:tc>
        <w:tc>
          <w:tcPr>
            <w:tcW w:w="901" w:type="pct"/>
          </w:tcPr>
          <w:p w14:paraId="18F6685F" w14:textId="77777777" w:rsidR="00F70525" w:rsidRPr="00220635" w:rsidRDefault="00F70525" w:rsidP="00F70525">
            <w:pPr>
              <w:pStyle w:val="NoSpacing"/>
            </w:pPr>
            <w:r w:rsidRPr="00220635">
              <w:t>1</w:t>
            </w:r>
          </w:p>
        </w:tc>
        <w:tc>
          <w:tcPr>
            <w:tcW w:w="900" w:type="pct"/>
          </w:tcPr>
          <w:p w14:paraId="400ED37D" w14:textId="6A379D47" w:rsidR="00F70525" w:rsidRPr="00220635" w:rsidRDefault="005F66DC" w:rsidP="00F70525">
            <w:pPr>
              <w:pStyle w:val="NoSpacing"/>
            </w:pPr>
            <w:r w:rsidRPr="00220635">
              <w:t>n/a</w:t>
            </w:r>
          </w:p>
        </w:tc>
      </w:tr>
      <w:tr w:rsidR="00F70525" w:rsidRPr="00220635" w14:paraId="07F108A4" w14:textId="77777777" w:rsidTr="00F70525">
        <w:tc>
          <w:tcPr>
            <w:tcW w:w="2346" w:type="pct"/>
          </w:tcPr>
          <w:p w14:paraId="4CED9964" w14:textId="77777777" w:rsidR="00F70525" w:rsidRPr="00220635" w:rsidRDefault="00F70525" w:rsidP="00F70525">
            <w:pPr>
              <w:pStyle w:val="NoSpacing"/>
            </w:pPr>
            <w:r w:rsidRPr="00220635">
              <w:t>Combined oral contraceptive (COC) pill</w:t>
            </w:r>
          </w:p>
        </w:tc>
        <w:tc>
          <w:tcPr>
            <w:tcW w:w="853" w:type="pct"/>
          </w:tcPr>
          <w:p w14:paraId="522275F5" w14:textId="77777777" w:rsidR="00F70525" w:rsidRPr="00220635" w:rsidRDefault="00F70525" w:rsidP="00F70525">
            <w:pPr>
              <w:pStyle w:val="NoSpacing"/>
            </w:pPr>
            <w:r w:rsidRPr="00220635">
              <w:t xml:space="preserve">0.3 </w:t>
            </w:r>
          </w:p>
        </w:tc>
        <w:tc>
          <w:tcPr>
            <w:tcW w:w="901" w:type="pct"/>
          </w:tcPr>
          <w:p w14:paraId="0F140FAC" w14:textId="77777777" w:rsidR="00F70525" w:rsidRPr="00220635" w:rsidRDefault="00F70525" w:rsidP="00F70525">
            <w:pPr>
              <w:pStyle w:val="NoSpacing"/>
            </w:pPr>
            <w:r w:rsidRPr="00220635">
              <w:t>3</w:t>
            </w:r>
          </w:p>
        </w:tc>
        <w:tc>
          <w:tcPr>
            <w:tcW w:w="900" w:type="pct"/>
          </w:tcPr>
          <w:p w14:paraId="0FAA00E5" w14:textId="77777777" w:rsidR="00F70525" w:rsidRPr="00220635" w:rsidRDefault="00BE3516" w:rsidP="00F70525">
            <w:pPr>
              <w:pStyle w:val="NoSpacing"/>
            </w:pPr>
            <w:r w:rsidRPr="00220635">
              <w:t>67</w:t>
            </w:r>
          </w:p>
        </w:tc>
      </w:tr>
      <w:tr w:rsidR="00F70525" w:rsidRPr="00220635" w14:paraId="4B50B55B" w14:textId="77777777" w:rsidTr="00F70525">
        <w:tc>
          <w:tcPr>
            <w:tcW w:w="2346" w:type="pct"/>
          </w:tcPr>
          <w:p w14:paraId="44E53EF0" w14:textId="77777777" w:rsidR="00F70525" w:rsidRPr="00220635" w:rsidRDefault="00F70525" w:rsidP="00F70525">
            <w:pPr>
              <w:pStyle w:val="NoSpacing"/>
            </w:pPr>
            <w:r w:rsidRPr="00220635">
              <w:t>Barrier: female condoms</w:t>
            </w:r>
          </w:p>
        </w:tc>
        <w:tc>
          <w:tcPr>
            <w:tcW w:w="853" w:type="pct"/>
          </w:tcPr>
          <w:p w14:paraId="29AC6258" w14:textId="77777777" w:rsidR="00F70525" w:rsidRPr="00220635" w:rsidRDefault="00F70525" w:rsidP="00F70525">
            <w:pPr>
              <w:pStyle w:val="NoSpacing"/>
            </w:pPr>
            <w:r w:rsidRPr="00220635">
              <w:t>5</w:t>
            </w:r>
          </w:p>
        </w:tc>
        <w:tc>
          <w:tcPr>
            <w:tcW w:w="901" w:type="pct"/>
          </w:tcPr>
          <w:p w14:paraId="554585B0" w14:textId="77777777" w:rsidR="00F70525" w:rsidRPr="00220635" w:rsidRDefault="00F70525" w:rsidP="00F70525">
            <w:pPr>
              <w:pStyle w:val="NoSpacing"/>
            </w:pPr>
            <w:r w:rsidRPr="00220635">
              <w:t>21</w:t>
            </w:r>
          </w:p>
        </w:tc>
        <w:tc>
          <w:tcPr>
            <w:tcW w:w="900" w:type="pct"/>
          </w:tcPr>
          <w:p w14:paraId="672681DC" w14:textId="77777777" w:rsidR="00F70525" w:rsidRPr="00220635" w:rsidRDefault="00BE3516" w:rsidP="00F70525">
            <w:pPr>
              <w:pStyle w:val="NoSpacing"/>
            </w:pPr>
            <w:r w:rsidRPr="00220635">
              <w:t>41</w:t>
            </w:r>
          </w:p>
        </w:tc>
      </w:tr>
      <w:tr w:rsidR="00F70525" w:rsidRPr="00220635" w14:paraId="745C5D30" w14:textId="77777777" w:rsidTr="00F70525">
        <w:tc>
          <w:tcPr>
            <w:tcW w:w="2346" w:type="pct"/>
          </w:tcPr>
          <w:p w14:paraId="724A3521" w14:textId="77777777" w:rsidR="00F70525" w:rsidRPr="00220635" w:rsidRDefault="00F70525" w:rsidP="00F70525">
            <w:pPr>
              <w:pStyle w:val="NoSpacing"/>
            </w:pPr>
            <w:r w:rsidRPr="00220635">
              <w:t>Barrier: male condoms</w:t>
            </w:r>
          </w:p>
        </w:tc>
        <w:tc>
          <w:tcPr>
            <w:tcW w:w="853" w:type="pct"/>
          </w:tcPr>
          <w:p w14:paraId="23E5215C" w14:textId="77777777" w:rsidR="00F70525" w:rsidRPr="00220635" w:rsidRDefault="00F70525" w:rsidP="00F70525">
            <w:pPr>
              <w:pStyle w:val="NoSpacing"/>
            </w:pPr>
            <w:r w:rsidRPr="00220635">
              <w:t>2</w:t>
            </w:r>
          </w:p>
        </w:tc>
        <w:tc>
          <w:tcPr>
            <w:tcW w:w="901" w:type="pct"/>
          </w:tcPr>
          <w:p w14:paraId="283D8F54" w14:textId="77777777" w:rsidR="00F70525" w:rsidRPr="00220635" w:rsidRDefault="00F70525" w:rsidP="00F70525">
            <w:pPr>
              <w:pStyle w:val="NoSpacing"/>
            </w:pPr>
            <w:r w:rsidRPr="00220635">
              <w:t>15</w:t>
            </w:r>
          </w:p>
        </w:tc>
        <w:tc>
          <w:tcPr>
            <w:tcW w:w="900" w:type="pct"/>
          </w:tcPr>
          <w:p w14:paraId="5CB0593D" w14:textId="77777777" w:rsidR="00F70525" w:rsidRPr="00220635" w:rsidRDefault="00BE3516" w:rsidP="00F70525">
            <w:pPr>
              <w:pStyle w:val="NoSpacing"/>
            </w:pPr>
            <w:r w:rsidRPr="00220635">
              <w:t>43</w:t>
            </w:r>
          </w:p>
        </w:tc>
      </w:tr>
      <w:tr w:rsidR="00F70525" w:rsidRPr="00220635" w14:paraId="4AB4F7B0" w14:textId="77777777" w:rsidTr="00F70525">
        <w:tc>
          <w:tcPr>
            <w:tcW w:w="2346" w:type="pct"/>
          </w:tcPr>
          <w:p w14:paraId="166FE716" w14:textId="77777777" w:rsidR="00F70525" w:rsidRPr="00220635" w:rsidRDefault="00F70525" w:rsidP="00F70525">
            <w:pPr>
              <w:pStyle w:val="NoSpacing"/>
            </w:pPr>
            <w:r w:rsidRPr="00220635">
              <w:t>Sterilisation: male – vasectomy</w:t>
            </w:r>
          </w:p>
        </w:tc>
        <w:tc>
          <w:tcPr>
            <w:tcW w:w="853" w:type="pct"/>
          </w:tcPr>
          <w:p w14:paraId="5E00F927" w14:textId="77777777" w:rsidR="00F70525" w:rsidRPr="00220635" w:rsidRDefault="00F70525" w:rsidP="00F70525">
            <w:pPr>
              <w:pStyle w:val="NoSpacing"/>
            </w:pPr>
            <w:r w:rsidRPr="00220635">
              <w:t>0.1</w:t>
            </w:r>
          </w:p>
        </w:tc>
        <w:tc>
          <w:tcPr>
            <w:tcW w:w="901" w:type="pct"/>
          </w:tcPr>
          <w:p w14:paraId="666335EA" w14:textId="77777777" w:rsidR="00F70525" w:rsidRPr="00220635" w:rsidRDefault="00F70525" w:rsidP="00F70525">
            <w:pPr>
              <w:pStyle w:val="NoSpacing"/>
            </w:pPr>
            <w:r w:rsidRPr="00220635">
              <w:t>0.15</w:t>
            </w:r>
          </w:p>
        </w:tc>
        <w:tc>
          <w:tcPr>
            <w:tcW w:w="900" w:type="pct"/>
          </w:tcPr>
          <w:p w14:paraId="07184FAB" w14:textId="77777777" w:rsidR="00F70525" w:rsidRPr="00220635" w:rsidRDefault="00BE3516" w:rsidP="00F70525">
            <w:pPr>
              <w:pStyle w:val="NoSpacing"/>
            </w:pPr>
            <w:r w:rsidRPr="00220635">
              <w:t>100</w:t>
            </w:r>
          </w:p>
        </w:tc>
      </w:tr>
      <w:tr w:rsidR="00F70525" w:rsidRPr="00220635" w14:paraId="054B6A45" w14:textId="77777777" w:rsidTr="00F70525">
        <w:tc>
          <w:tcPr>
            <w:tcW w:w="2346" w:type="pct"/>
          </w:tcPr>
          <w:p w14:paraId="1B8EE6FE" w14:textId="77777777" w:rsidR="00F70525" w:rsidRPr="00220635" w:rsidRDefault="00F70525" w:rsidP="00F70525">
            <w:pPr>
              <w:pStyle w:val="NoSpacing"/>
            </w:pPr>
            <w:r w:rsidRPr="00220635">
              <w:t>Sterilisation: female - tubal ligation</w:t>
            </w:r>
          </w:p>
        </w:tc>
        <w:tc>
          <w:tcPr>
            <w:tcW w:w="853" w:type="pct"/>
          </w:tcPr>
          <w:p w14:paraId="54405FC3" w14:textId="77777777" w:rsidR="00F70525" w:rsidRPr="00220635" w:rsidRDefault="00F70525" w:rsidP="00F70525">
            <w:pPr>
              <w:pStyle w:val="NoSpacing"/>
            </w:pPr>
            <w:r w:rsidRPr="00220635">
              <w:t>0.5</w:t>
            </w:r>
          </w:p>
        </w:tc>
        <w:tc>
          <w:tcPr>
            <w:tcW w:w="901" w:type="pct"/>
          </w:tcPr>
          <w:p w14:paraId="44A68C3D" w14:textId="77777777" w:rsidR="00F70525" w:rsidRPr="00220635" w:rsidRDefault="00F70525" w:rsidP="00F70525">
            <w:pPr>
              <w:pStyle w:val="NoSpacing"/>
            </w:pPr>
            <w:r w:rsidRPr="00220635">
              <w:t>0.5</w:t>
            </w:r>
          </w:p>
        </w:tc>
        <w:tc>
          <w:tcPr>
            <w:tcW w:w="900" w:type="pct"/>
          </w:tcPr>
          <w:p w14:paraId="445ED62E" w14:textId="77777777" w:rsidR="00F70525" w:rsidRPr="00220635" w:rsidRDefault="00BE3516" w:rsidP="00F70525">
            <w:pPr>
              <w:pStyle w:val="NoSpacing"/>
            </w:pPr>
            <w:r w:rsidRPr="00220635">
              <w:t>100</w:t>
            </w:r>
          </w:p>
        </w:tc>
      </w:tr>
      <w:tr w:rsidR="00F70525" w:rsidRPr="00220635" w14:paraId="27140A5F" w14:textId="77777777" w:rsidTr="00F70525">
        <w:tc>
          <w:tcPr>
            <w:tcW w:w="2346" w:type="pct"/>
          </w:tcPr>
          <w:p w14:paraId="39389E73" w14:textId="77777777" w:rsidR="00F70525" w:rsidRPr="00220635" w:rsidRDefault="00F70525" w:rsidP="00F70525">
            <w:pPr>
              <w:pStyle w:val="NoSpacing"/>
            </w:pPr>
            <w:r w:rsidRPr="00220635">
              <w:t>No method</w:t>
            </w:r>
          </w:p>
        </w:tc>
        <w:tc>
          <w:tcPr>
            <w:tcW w:w="853" w:type="pct"/>
          </w:tcPr>
          <w:p w14:paraId="4C238342" w14:textId="77777777" w:rsidR="00F70525" w:rsidRPr="00220635" w:rsidRDefault="00F70525" w:rsidP="00F70525">
            <w:pPr>
              <w:pStyle w:val="NoSpacing"/>
            </w:pPr>
            <w:r w:rsidRPr="00220635">
              <w:t>85</w:t>
            </w:r>
          </w:p>
        </w:tc>
        <w:tc>
          <w:tcPr>
            <w:tcW w:w="901" w:type="pct"/>
          </w:tcPr>
          <w:p w14:paraId="096F60E2" w14:textId="77777777" w:rsidR="00F70525" w:rsidRPr="00220635" w:rsidRDefault="00F70525" w:rsidP="00F70525">
            <w:pPr>
              <w:pStyle w:val="NoSpacing"/>
            </w:pPr>
            <w:r w:rsidRPr="00220635">
              <w:t>85</w:t>
            </w:r>
          </w:p>
        </w:tc>
        <w:tc>
          <w:tcPr>
            <w:tcW w:w="900" w:type="pct"/>
          </w:tcPr>
          <w:p w14:paraId="10E472C8" w14:textId="152B8772" w:rsidR="00F70525" w:rsidRPr="00220635" w:rsidRDefault="005F66DC" w:rsidP="00F70525">
            <w:pPr>
              <w:pStyle w:val="NoSpacing"/>
            </w:pPr>
            <w:r w:rsidRPr="00220635">
              <w:t>n/a</w:t>
            </w:r>
          </w:p>
        </w:tc>
      </w:tr>
      <w:tr w:rsidR="00F70525" w:rsidRPr="00220635" w14:paraId="113DF987" w14:textId="77777777" w:rsidTr="00F70525">
        <w:trPr>
          <w:cnfStyle w:val="010000000000" w:firstRow="0" w:lastRow="1" w:firstColumn="0" w:lastColumn="0" w:oddVBand="0" w:evenVBand="0" w:oddHBand="0" w:evenHBand="0" w:firstRowFirstColumn="0" w:firstRowLastColumn="0" w:lastRowFirstColumn="0" w:lastRowLastColumn="0"/>
        </w:trPr>
        <w:tc>
          <w:tcPr>
            <w:tcW w:w="4100" w:type="pct"/>
            <w:gridSpan w:val="3"/>
          </w:tcPr>
          <w:p w14:paraId="46DE9C54" w14:textId="77777777" w:rsidR="00F70525" w:rsidRPr="00220635" w:rsidRDefault="00F70525" w:rsidP="00D05448">
            <w:pPr>
              <w:pStyle w:val="NoSpacing"/>
            </w:pPr>
            <w:r w:rsidRPr="00220635">
              <w:t>Key:</w:t>
            </w:r>
            <w:r w:rsidRPr="00220635">
              <w:tab/>
              <w:t>0-0.9: very effective</w:t>
            </w:r>
            <w:r w:rsidRPr="00220635">
              <w:tab/>
            </w:r>
            <w:r w:rsidRPr="00220635">
              <w:tab/>
              <w:t>10-25: moderately effective</w:t>
            </w:r>
          </w:p>
          <w:p w14:paraId="652016BC" w14:textId="77777777" w:rsidR="00F70525" w:rsidRPr="00220635" w:rsidRDefault="00F70525" w:rsidP="00D05448">
            <w:pPr>
              <w:pStyle w:val="NoSpacing"/>
            </w:pPr>
            <w:r w:rsidRPr="00220635">
              <w:tab/>
              <w:t>1-9: effective</w:t>
            </w:r>
            <w:r w:rsidRPr="00220635">
              <w:tab/>
            </w:r>
            <w:r w:rsidRPr="00220635">
              <w:tab/>
            </w:r>
            <w:r w:rsidRPr="00220635">
              <w:tab/>
              <w:t>26-32: less effective</w:t>
            </w:r>
          </w:p>
        </w:tc>
        <w:tc>
          <w:tcPr>
            <w:tcW w:w="900" w:type="pct"/>
          </w:tcPr>
          <w:tbl>
            <w:tblPr>
              <w:tblpPr w:leftFromText="180" w:rightFromText="180" w:vertAnchor="text" w:horzAnchor="margin" w:tblpXSpec="right" w:tblpY="15"/>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3B6633" w:rsidRPr="00220635" w14:paraId="0F4BB441" w14:textId="77777777" w:rsidTr="00AA5610">
              <w:tc>
                <w:tcPr>
                  <w:tcW w:w="907" w:type="dxa"/>
                  <w:shd w:val="clear" w:color="auto" w:fill="FFFFFF" w:themeFill="background1"/>
                </w:tcPr>
                <w:p w14:paraId="7B65E694" w14:textId="48364335" w:rsidR="003B6633" w:rsidRPr="00220635" w:rsidRDefault="003B6633" w:rsidP="003B6633">
                  <w:pPr>
                    <w:pStyle w:val="LoEText"/>
                    <w:framePr w:hSpace="0" w:wrap="auto" w:vAnchor="margin" w:hAnchor="text" w:xAlign="left" w:yAlign="inline"/>
                    <w:suppressOverlap w:val="0"/>
                  </w:pPr>
                  <w:proofErr w:type="spellStart"/>
                  <w:r w:rsidRPr="00220635">
                    <w:t>LoE:III</w:t>
                  </w:r>
                  <w:r w:rsidR="00457199">
                    <w:t>b</w:t>
                  </w:r>
                  <w:proofErr w:type="spellEnd"/>
                  <w:r w:rsidRPr="00220635">
                    <w:rPr>
                      <w:rStyle w:val="EndnoteReference8"/>
                    </w:rPr>
                    <w:endnoteReference w:id="5"/>
                  </w:r>
                </w:p>
              </w:tc>
            </w:tr>
          </w:tbl>
          <w:p w14:paraId="1B150A6F" w14:textId="77777777" w:rsidR="00F70525" w:rsidRPr="00220635" w:rsidRDefault="00F70525" w:rsidP="00D05448">
            <w:pPr>
              <w:pStyle w:val="NoSpacing"/>
            </w:pPr>
          </w:p>
        </w:tc>
      </w:tr>
    </w:tbl>
    <w:p w14:paraId="119A622C" w14:textId="731BD2AB" w:rsidR="00CE4531" w:rsidRPr="00220635" w:rsidRDefault="00CE4531" w:rsidP="00CE4531">
      <w:pPr>
        <w:pStyle w:val="NoSpacing"/>
      </w:pPr>
    </w:p>
    <w:p w14:paraId="0D6DE83B" w14:textId="77777777" w:rsidR="003B6633" w:rsidRPr="00220635" w:rsidRDefault="003B6633" w:rsidP="00CE4531">
      <w:pPr>
        <w:pStyle w:val="NoSpacing"/>
      </w:pPr>
    </w:p>
    <w:p w14:paraId="6AB4F950" w14:textId="77777777" w:rsidR="00CE4531" w:rsidRPr="004877CA" w:rsidRDefault="00CE75AB" w:rsidP="003B6633">
      <w:pPr>
        <w:pStyle w:val="Heading2"/>
        <w:spacing w:before="0"/>
      </w:pPr>
      <w:bookmarkStart w:id="3" w:name="_Toc66085692"/>
      <w:r w:rsidRPr="004877CA">
        <w:t>Intrauterine contraceptive</w:t>
      </w:r>
      <w:r w:rsidR="00CE4531" w:rsidRPr="004877CA">
        <w:t xml:space="preserve"> </w:t>
      </w:r>
      <w:r w:rsidR="00BE3516" w:rsidRPr="004877CA">
        <w:t xml:space="preserve">copper </w:t>
      </w:r>
      <w:r w:rsidRPr="004877CA">
        <w:t>device</w:t>
      </w:r>
      <w:r w:rsidR="00CE4531" w:rsidRPr="004877CA">
        <w:t xml:space="preserve"> (</w:t>
      </w:r>
      <w:r w:rsidR="00EB0E5E" w:rsidRPr="004877CA">
        <w:t>IUCD</w:t>
      </w:r>
      <w:r w:rsidR="00CE4531" w:rsidRPr="004877CA">
        <w:t>)</w:t>
      </w:r>
      <w:bookmarkEnd w:id="3"/>
      <w:r w:rsidR="00E30FA8" w:rsidRPr="00220635">
        <w:fldChar w:fldCharType="begin"/>
      </w:r>
      <w:r w:rsidR="00E30FA8" w:rsidRPr="004877CA">
        <w:instrText xml:space="preserve"> XE "Intrauterine contraceptive device (IUCD)" \f “c”</w:instrText>
      </w:r>
      <w:r w:rsidR="00E30FA8" w:rsidRPr="00220635">
        <w:fldChar w:fldCharType="end"/>
      </w:r>
    </w:p>
    <w:p w14:paraId="3BCD6F45" w14:textId="77777777" w:rsidR="00CE4531" w:rsidRPr="00220635" w:rsidRDefault="00CE4531" w:rsidP="00EB0E5E">
      <w:pPr>
        <w:pStyle w:val="ICD10"/>
      </w:pPr>
      <w:r w:rsidRPr="00220635">
        <w:t>Z30.0/Z30.1/Z30.5</w:t>
      </w:r>
    </w:p>
    <w:p w14:paraId="5332718C" w14:textId="77777777" w:rsidR="00CE4531" w:rsidRPr="00220635" w:rsidRDefault="00CE4531" w:rsidP="0052501D">
      <w:r w:rsidRPr="00220635">
        <w:t>Dual protection with barrier methods is recommended to reduce the risk of STIs including HIV.</w:t>
      </w:r>
    </w:p>
    <w:p w14:paraId="513AECA3" w14:textId="6F48C95B" w:rsidR="00CE4531" w:rsidRPr="00220635" w:rsidRDefault="00595B0C" w:rsidP="0052501D">
      <w:r w:rsidRPr="00220635">
        <w:t>The IUCD is</w:t>
      </w:r>
      <w:r>
        <w:t xml:space="preserve"> a</w:t>
      </w:r>
      <w:r w:rsidRPr="00220635">
        <w:t xml:space="preserve"> long-term contraceptive method </w:t>
      </w:r>
      <w:r>
        <w:t xml:space="preserve">that is </w:t>
      </w:r>
      <w:r w:rsidRPr="00220635">
        <w:t>effective, safe</w:t>
      </w:r>
      <w:r>
        <w:t xml:space="preserve"> and</w:t>
      </w:r>
      <w:r w:rsidRPr="00220635">
        <w:t xml:space="preserve"> reversible</w:t>
      </w:r>
      <w:r>
        <w:t>. It</w:t>
      </w:r>
      <w:r w:rsidRPr="00220635">
        <w:t xml:space="preserve"> has no hormonal effects</w:t>
      </w:r>
      <w:r>
        <w:t xml:space="preserve"> or </w:t>
      </w:r>
      <w:r w:rsidRPr="00220635">
        <w:t xml:space="preserve">drug </w:t>
      </w:r>
      <w:proofErr w:type="spellStart"/>
      <w:proofErr w:type="gramStart"/>
      <w:r w:rsidRPr="00220635">
        <w:t>interactions.</w:t>
      </w:r>
      <w:r w:rsidR="00CE4531" w:rsidRPr="00220635">
        <w:t>.</w:t>
      </w:r>
      <w:proofErr w:type="gramEnd"/>
      <w:r w:rsidR="00D268F5">
        <w:t>It</w:t>
      </w:r>
      <w:proofErr w:type="spellEnd"/>
      <w:r w:rsidR="00D268F5">
        <w:t xml:space="preserve"> does not require daily adherence</w:t>
      </w:r>
      <w:r w:rsidR="002023D6">
        <w:t xml:space="preserve"> or </w:t>
      </w:r>
      <w:r w:rsidR="00237A40">
        <w:t xml:space="preserve">frequent </w:t>
      </w:r>
      <w:r w:rsidR="002023D6">
        <w:t>follow up.</w:t>
      </w:r>
    </w:p>
    <w:p w14:paraId="5C950ED1" w14:textId="77777777" w:rsidR="00540E98" w:rsidRPr="00220635" w:rsidRDefault="00540E98" w:rsidP="00540E98">
      <w:pPr>
        <w:pStyle w:val="Centeredbox"/>
        <w:rPr>
          <w:rStyle w:val="Strong"/>
        </w:rPr>
      </w:pPr>
      <w:r w:rsidRPr="00220635">
        <w:rPr>
          <w:rStyle w:val="Strong"/>
        </w:rPr>
        <w:t>HIV infection is NOT a contra-indication to the use of an IUCD.</w:t>
      </w:r>
    </w:p>
    <w:p w14:paraId="5D664D74" w14:textId="38A3C908" w:rsidR="00540E98" w:rsidRPr="00220635" w:rsidRDefault="00540E98" w:rsidP="00540E98">
      <w:pPr>
        <w:pStyle w:val="Centeredbox"/>
        <w:rPr>
          <w:rStyle w:val="Strong"/>
        </w:rPr>
      </w:pPr>
      <w:r w:rsidRPr="00220635">
        <w:rPr>
          <w:rStyle w:val="Strong"/>
        </w:rPr>
        <w:t xml:space="preserve">IUCDs are often the most suitable contraceptive for women on </w:t>
      </w:r>
      <w:r w:rsidR="00475A3E">
        <w:rPr>
          <w:rStyle w:val="Strong"/>
        </w:rPr>
        <w:t>antiretrovirals</w:t>
      </w:r>
      <w:r w:rsidR="00475A3E" w:rsidRPr="00220635">
        <w:rPr>
          <w:rStyle w:val="Strong"/>
        </w:rPr>
        <w:t xml:space="preserve"> </w:t>
      </w:r>
      <w:r w:rsidRPr="00220635">
        <w:rPr>
          <w:rStyle w:val="Strong"/>
        </w:rPr>
        <w:t>and other enzyme-inducing medicines, because of the absence of drug interactions.</w:t>
      </w:r>
    </w:p>
    <w:p w14:paraId="38B639B3" w14:textId="77777777" w:rsidR="00CE4531" w:rsidRPr="00220635" w:rsidRDefault="00CE4531" w:rsidP="0052501D">
      <w:pPr>
        <w:pStyle w:val="BulletTherapeuticclass"/>
      </w:pPr>
      <w:r w:rsidRPr="00220635">
        <w:t>Copper IUCD</w:t>
      </w:r>
      <w:r w:rsidR="00F97B68" w:rsidRPr="00220635">
        <w:fldChar w:fldCharType="begin"/>
      </w:r>
      <w:r w:rsidR="00F97B68" w:rsidRPr="00220635">
        <w:instrText xml:space="preserve"> XE "Copper IUCD" \f "m"</w:instrText>
      </w:r>
      <w:r w:rsidR="00F97B68" w:rsidRPr="00220635">
        <w:fldChar w:fldCharType="end"/>
      </w:r>
      <w:r w:rsidRPr="00220635">
        <w:t>, e.g.:</w:t>
      </w:r>
    </w:p>
    <w:p w14:paraId="41D06AB5" w14:textId="77777777" w:rsidR="00CE4531" w:rsidRPr="004877CA" w:rsidRDefault="00CE4531" w:rsidP="0000543B">
      <w:pPr>
        <w:pStyle w:val="BulletMedicine"/>
      </w:pPr>
      <w:r w:rsidRPr="004877CA">
        <w:t>Cu T380A</w:t>
      </w:r>
      <w:r w:rsidR="00E40E15" w:rsidRPr="00220635">
        <w:fldChar w:fldCharType="begin"/>
      </w:r>
      <w:r w:rsidR="00E40E15" w:rsidRPr="004877CA">
        <w:instrText xml:space="preserve"> XE "Cu T380A</w:instrText>
      </w:r>
      <w:r w:rsidR="007B1FC6" w:rsidRPr="004877CA">
        <w:instrText>, IUCD</w:instrText>
      </w:r>
      <w:r w:rsidR="00E40E15" w:rsidRPr="004877CA">
        <w:instrText>"</w:instrText>
      </w:r>
      <w:r w:rsidR="007B1FC6" w:rsidRPr="004877CA">
        <w:instrText xml:space="preserve"> \f "m"</w:instrText>
      </w:r>
      <w:r w:rsidR="00E40E15" w:rsidRPr="004877CA">
        <w:instrText xml:space="preserve"> </w:instrText>
      </w:r>
      <w:r w:rsidR="00E40E15" w:rsidRPr="00220635">
        <w:fldChar w:fldCharType="end"/>
      </w:r>
      <w:r w:rsidRPr="004877CA">
        <w:t>, 380mm² copper device.</w:t>
      </w:r>
    </w:p>
    <w:p w14:paraId="739A840F" w14:textId="77777777" w:rsidR="00CE4531" w:rsidRPr="00220635" w:rsidRDefault="00CE4531" w:rsidP="004029B9">
      <w:r w:rsidRPr="00220635">
        <w:t>Devices with lower copper surface area are not recommended.</w:t>
      </w:r>
    </w:p>
    <w:p w14:paraId="09C91948" w14:textId="4D658306" w:rsidR="00CE4531" w:rsidRPr="00220635" w:rsidRDefault="00CE4531" w:rsidP="004029B9">
      <w:r w:rsidRPr="00220635">
        <w:t>The IUCD can be inserted</w:t>
      </w:r>
      <w:r w:rsidR="008F359D">
        <w:t xml:space="preserve"> at</w:t>
      </w:r>
      <w:r w:rsidRPr="00220635">
        <w:t xml:space="preserve"> any time during the menstrual cycle</w:t>
      </w:r>
      <w:r w:rsidR="008F359D">
        <w:t>,</w:t>
      </w:r>
      <w:r w:rsidRPr="00220635">
        <w:t xml:space="preserve"> once pregnancy has been excluded (by clinical history or with a pregnancy test if required). Insertion at menstruation may be easier for the </w:t>
      </w:r>
      <w:r w:rsidR="00B13A40">
        <w:t>woman</w:t>
      </w:r>
      <w:r w:rsidR="00FD22C3">
        <w:t xml:space="preserve"> and</w:t>
      </w:r>
      <w:r w:rsidRPr="00220635">
        <w:t xml:space="preserve"> result</w:t>
      </w:r>
      <w:r w:rsidR="00FD22C3">
        <w:t>s</w:t>
      </w:r>
      <w:r w:rsidRPr="00220635">
        <w:t xml:space="preserve"> in less discomfort and spotting.</w:t>
      </w:r>
    </w:p>
    <w:p w14:paraId="3BBAAC5A" w14:textId="3BF5F771" w:rsidR="00CE4531" w:rsidRPr="00220635" w:rsidRDefault="00CE4531" w:rsidP="004029B9">
      <w:r w:rsidRPr="00220635">
        <w:t>Copper IUCDs may be inserted immediately postpartum or post miscarriage (within 48 hours) by specially trained hea</w:t>
      </w:r>
      <w:r w:rsidR="008E2BEC">
        <w:t>l</w:t>
      </w:r>
      <w:r w:rsidRPr="00220635">
        <w:t>th care professionals, provid</w:t>
      </w:r>
      <w:r w:rsidR="00862D01">
        <w:t>ed</w:t>
      </w:r>
      <w:r w:rsidRPr="00220635">
        <w:t xml:space="preserve"> that no contra-indications are present (chorioamnionitis, ruptured membranes for more than 18 hours</w:t>
      </w:r>
      <w:r w:rsidR="007E754D">
        <w:t>,</w:t>
      </w:r>
      <w:r w:rsidRPr="00220635">
        <w:t xml:space="preserve"> </w:t>
      </w:r>
      <w:r w:rsidR="007E754D">
        <w:t>or</w:t>
      </w:r>
      <w:r w:rsidRPr="00220635">
        <w:t xml:space="preserve"> postpartum haemorrhage).</w:t>
      </w:r>
    </w:p>
    <w:tbl>
      <w:tblPr>
        <w:tblpPr w:leftFromText="180" w:rightFromText="180" w:vertAnchor="text" w:horzAnchor="margin" w:tblpXSpec="right" w:tblpY="15"/>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00543B" w:rsidRPr="00220635" w14:paraId="67E3F05B" w14:textId="77777777" w:rsidTr="0000543B">
        <w:tc>
          <w:tcPr>
            <w:tcW w:w="907" w:type="dxa"/>
            <w:shd w:val="clear" w:color="auto" w:fill="FFFFFF" w:themeFill="background1"/>
          </w:tcPr>
          <w:p w14:paraId="0372D863" w14:textId="5AFB6780" w:rsidR="0000543B" w:rsidRPr="00220635" w:rsidRDefault="0000543B" w:rsidP="0000543B">
            <w:pPr>
              <w:pStyle w:val="LoEText"/>
              <w:framePr w:hSpace="0" w:wrap="auto" w:vAnchor="margin" w:hAnchor="text" w:xAlign="left" w:yAlign="inline"/>
              <w:suppressOverlap w:val="0"/>
            </w:pPr>
            <w:proofErr w:type="spellStart"/>
            <w:r w:rsidRPr="00220635">
              <w:t>LoE:I</w:t>
            </w:r>
            <w:r w:rsidR="00457199">
              <w:t>Ib</w:t>
            </w:r>
            <w:proofErr w:type="spellEnd"/>
            <w:r w:rsidRPr="00220635">
              <w:rPr>
                <w:rStyle w:val="EndnoteReference8"/>
              </w:rPr>
              <w:endnoteReference w:id="6"/>
            </w:r>
          </w:p>
        </w:tc>
      </w:tr>
    </w:tbl>
    <w:p w14:paraId="2E88BB36" w14:textId="77777777" w:rsidR="00CE4531" w:rsidRPr="00220635" w:rsidRDefault="00CE4531" w:rsidP="004029B9">
      <w:r w:rsidRPr="00220635">
        <w:t xml:space="preserve">Alternatively, an IUCD may be inserted at least 4 weeks postpartum. </w:t>
      </w:r>
    </w:p>
    <w:p w14:paraId="4E82CC86" w14:textId="70FD3630" w:rsidR="00CE4531" w:rsidRPr="00220635" w:rsidRDefault="00CE4531" w:rsidP="00CE4531">
      <w:pPr>
        <w:pStyle w:val="NoSpacing"/>
      </w:pPr>
      <w:r w:rsidRPr="00220635">
        <w:lastRenderedPageBreak/>
        <w:t xml:space="preserve">Advise </w:t>
      </w:r>
      <w:r w:rsidR="00C05FFD">
        <w:t>women</w:t>
      </w:r>
      <w:r w:rsidR="006F568B">
        <w:t xml:space="preserve"> when</w:t>
      </w:r>
      <w:r w:rsidRPr="00220635">
        <w:t xml:space="preserve"> to return:</w:t>
      </w:r>
    </w:p>
    <w:p w14:paraId="0AED1C94" w14:textId="77777777" w:rsidR="00CE4531" w:rsidRPr="00220635" w:rsidRDefault="00CE4531" w:rsidP="00D82C54">
      <w:pPr>
        <w:pStyle w:val="ListParagraph"/>
      </w:pPr>
      <w:r w:rsidRPr="00220635">
        <w:t>Expulsion of IUCD or if strings of the IUCD protrude.</w:t>
      </w:r>
    </w:p>
    <w:p w14:paraId="456E22D2" w14:textId="3D14C9A5" w:rsidR="00CE4531" w:rsidRPr="00220635" w:rsidRDefault="00CE4531" w:rsidP="00D82C54">
      <w:pPr>
        <w:pStyle w:val="ListParagraph"/>
      </w:pPr>
      <w:r w:rsidRPr="00220635">
        <w:t>Complications (</w:t>
      </w:r>
      <w:r w:rsidR="00417513">
        <w:t xml:space="preserve">excessive bleeding, excessive pain, fever, or </w:t>
      </w:r>
      <w:r w:rsidR="00F65BFA">
        <w:t>foul-smelling discharge</w:t>
      </w:r>
      <w:r w:rsidRPr="00220635">
        <w:t>).</w:t>
      </w:r>
    </w:p>
    <w:tbl>
      <w:tblPr>
        <w:tblpPr w:leftFromText="180" w:rightFromText="180" w:vertAnchor="text" w:horzAnchor="margin" w:tblpXSpec="right" w:tblpY="-1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D82C54" w:rsidRPr="00220635" w14:paraId="3F7CD911" w14:textId="77777777" w:rsidTr="00D82C54">
        <w:tc>
          <w:tcPr>
            <w:tcW w:w="907" w:type="dxa"/>
            <w:shd w:val="clear" w:color="auto" w:fill="FFFFFF" w:themeFill="background1"/>
          </w:tcPr>
          <w:p w14:paraId="2D3AAFF3" w14:textId="1478CAAF" w:rsidR="00D82C54" w:rsidRPr="00220635" w:rsidRDefault="00D82C54" w:rsidP="00D82C54">
            <w:pPr>
              <w:pStyle w:val="LoEText"/>
              <w:framePr w:hSpace="0" w:wrap="auto" w:vAnchor="margin" w:hAnchor="text" w:xAlign="left" w:yAlign="inline"/>
              <w:suppressOverlap w:val="0"/>
            </w:pPr>
            <w:proofErr w:type="spellStart"/>
            <w:r w:rsidRPr="00220635">
              <w:t>LoE:I</w:t>
            </w:r>
            <w:r w:rsidR="00457199">
              <w:t>Vb</w:t>
            </w:r>
            <w:proofErr w:type="spellEnd"/>
            <w:r w:rsidRPr="00220635">
              <w:rPr>
                <w:rStyle w:val="EndnoteReference8"/>
              </w:rPr>
              <w:endnoteReference w:id="7"/>
            </w:r>
          </w:p>
        </w:tc>
      </w:tr>
    </w:tbl>
    <w:p w14:paraId="33A02835" w14:textId="77777777" w:rsidR="00CE4531" w:rsidRPr="00220635" w:rsidRDefault="00CE4531" w:rsidP="00D82C54">
      <w:pPr>
        <w:pStyle w:val="ListParagraph"/>
      </w:pPr>
      <w:r w:rsidRPr="00220635">
        <w:t>Routine follow-up after 3–6 weeks.</w:t>
      </w:r>
    </w:p>
    <w:p w14:paraId="22335A97" w14:textId="77777777" w:rsidR="00CE4531" w:rsidRPr="00220635" w:rsidRDefault="00CE4531" w:rsidP="004029B9">
      <w:r w:rsidRPr="00220635">
        <w:t>Copper IUCD is not recommended for women with menorrhagia, active pelvic inflammatory disease (PID), purulent cervicitis, unexplained uterine bleeding, cervical and endometrial cancers or other uterine abnormalities.</w:t>
      </w:r>
    </w:p>
    <w:p w14:paraId="27270476" w14:textId="77777777" w:rsidR="00CE4531" w:rsidRPr="00220635" w:rsidRDefault="00CE4531" w:rsidP="004029B9">
      <w:pPr>
        <w:pStyle w:val="Heading7"/>
      </w:pPr>
      <w:r w:rsidRPr="00220635">
        <w:t xml:space="preserve">For mild pain and discomfort after insertion: </w:t>
      </w:r>
    </w:p>
    <w:p w14:paraId="1EE2DFC9" w14:textId="77777777" w:rsidR="00CE4531" w:rsidRPr="00220635" w:rsidRDefault="00CE4531" w:rsidP="004029B9">
      <w:pPr>
        <w:pStyle w:val="BulletMedicine"/>
      </w:pPr>
      <w:r w:rsidRPr="00220635">
        <w:t>Ibuprofen, oral</w:t>
      </w:r>
      <w:r w:rsidR="00E30FA8" w:rsidRPr="00220635">
        <w:fldChar w:fldCharType="begin"/>
      </w:r>
      <w:r w:rsidR="00E30FA8" w:rsidRPr="00220635">
        <w:instrText xml:space="preserve"> XE "Ibuprofen, oral" \f "m" </w:instrText>
      </w:r>
      <w:r w:rsidR="00E30FA8" w:rsidRPr="00220635">
        <w:fldChar w:fldCharType="end"/>
      </w:r>
      <w:r w:rsidRPr="00220635">
        <w:t>, 400 mg 8 hourly with or after a meal as needed for up to 3 days.</w:t>
      </w:r>
    </w:p>
    <w:p w14:paraId="00AFEF5A" w14:textId="77777777" w:rsidR="00CE4531" w:rsidRPr="00220635" w:rsidRDefault="00CE4531" w:rsidP="004029B9">
      <w:pPr>
        <w:pStyle w:val="Heading5"/>
      </w:pPr>
      <w:r w:rsidRPr="00220635">
        <w:t>REFERRAL</w:t>
      </w:r>
    </w:p>
    <w:p w14:paraId="787DEE30" w14:textId="77777777" w:rsidR="00CE4531" w:rsidRPr="00220635" w:rsidRDefault="00CE4531" w:rsidP="004029B9">
      <w:pPr>
        <w:pStyle w:val="ListParagraph"/>
      </w:pPr>
      <w:r w:rsidRPr="00220635">
        <w:t>Excessive pain or bleeding after insertion.</w:t>
      </w:r>
    </w:p>
    <w:p w14:paraId="1227A4DF" w14:textId="77777777" w:rsidR="00CE4531" w:rsidRPr="00220635" w:rsidRDefault="00CE4531" w:rsidP="004029B9">
      <w:pPr>
        <w:pStyle w:val="ListParagraph"/>
      </w:pPr>
      <w:r w:rsidRPr="00220635">
        <w:t>Signs of infection within 7 days of insertion (e.g. fever, abdominal pain and/or foul-smelling discharge).</w:t>
      </w:r>
    </w:p>
    <w:p w14:paraId="15ECC094" w14:textId="09C4F31E" w:rsidR="00CE4531" w:rsidRDefault="00CE4531" w:rsidP="004029B9">
      <w:pPr>
        <w:pStyle w:val="ListParagraph"/>
      </w:pPr>
      <w:r w:rsidRPr="00220635">
        <w:t>Abnormal bleeding for &gt; 3 months.</w:t>
      </w:r>
    </w:p>
    <w:p w14:paraId="36A49EC5" w14:textId="77777777" w:rsidR="00CE4531" w:rsidRPr="00220635" w:rsidRDefault="00CE4531" w:rsidP="00CE4531">
      <w:pPr>
        <w:pStyle w:val="NoSpacing"/>
      </w:pPr>
    </w:p>
    <w:p w14:paraId="1450462A" w14:textId="77777777" w:rsidR="00CE4531" w:rsidRPr="00220635" w:rsidRDefault="00EB0E5E" w:rsidP="00D62F7D">
      <w:pPr>
        <w:pStyle w:val="Heading2"/>
      </w:pPr>
      <w:bookmarkStart w:id="4" w:name="_Toc66085693"/>
      <w:r w:rsidRPr="00220635">
        <w:t>Contraception, hormonal</w:t>
      </w:r>
      <w:bookmarkEnd w:id="4"/>
      <w:r w:rsidR="00E30FA8" w:rsidRPr="00220635">
        <w:fldChar w:fldCharType="begin"/>
      </w:r>
      <w:r w:rsidR="00E30FA8" w:rsidRPr="00220635">
        <w:instrText xml:space="preserve"> XE "Contraception, hormonal" \f “c”</w:instrText>
      </w:r>
      <w:r w:rsidR="00E30FA8" w:rsidRPr="00220635">
        <w:fldChar w:fldCharType="end"/>
      </w:r>
    </w:p>
    <w:p w14:paraId="52036123" w14:textId="77777777" w:rsidR="00542C62" w:rsidRPr="00220635" w:rsidRDefault="00542C62" w:rsidP="00542C62">
      <w:pPr>
        <w:pStyle w:val="Centeredbox"/>
      </w:pPr>
      <w:r w:rsidRPr="00220635">
        <w:rPr>
          <w:rStyle w:val="Strong"/>
        </w:rPr>
        <w:t>CAUTION</w:t>
      </w:r>
      <w:r w:rsidRPr="00220635">
        <w:br/>
        <w:t xml:space="preserve">Before starting hormonal contraception, </w:t>
      </w:r>
      <w:r>
        <w:t>advise women</w:t>
      </w:r>
      <w:r w:rsidRPr="00220635">
        <w:t xml:space="preserve"> about the expected bleeding patterns, both initially and in the longer term.</w:t>
      </w:r>
    </w:p>
    <w:p w14:paraId="35A02124" w14:textId="77777777" w:rsidR="00CE4531" w:rsidRPr="00220635" w:rsidRDefault="00D62F7D" w:rsidP="00161B0A">
      <w:pPr>
        <w:pStyle w:val="Heading3"/>
      </w:pPr>
      <w:bookmarkStart w:id="5" w:name="_Toc66085694"/>
      <w:r w:rsidRPr="00220635">
        <w:t>Subdermal implant</w:t>
      </w:r>
      <w:bookmarkEnd w:id="5"/>
      <w:r w:rsidR="00E30FA8" w:rsidRPr="00220635">
        <w:fldChar w:fldCharType="begin"/>
      </w:r>
      <w:r w:rsidR="00E30FA8" w:rsidRPr="00220635">
        <w:instrText xml:space="preserve"> XE "Subdermal implant" \f “c”</w:instrText>
      </w:r>
      <w:r w:rsidR="00E30FA8" w:rsidRPr="00220635">
        <w:fldChar w:fldCharType="end"/>
      </w:r>
    </w:p>
    <w:p w14:paraId="5B24237D" w14:textId="77777777" w:rsidR="00CE4531" w:rsidRPr="00220635" w:rsidRDefault="00CE4531" w:rsidP="00161B0A">
      <w:pPr>
        <w:pStyle w:val="ICD10"/>
      </w:pPr>
      <w:r w:rsidRPr="00220635">
        <w:t>Z30.0/Z30.4/Z30.8</w:t>
      </w:r>
    </w:p>
    <w:p w14:paraId="14726235" w14:textId="77777777" w:rsidR="00CE4531" w:rsidRPr="00220635" w:rsidRDefault="00CE4531" w:rsidP="00A44CB6">
      <w:r w:rsidRPr="00220635">
        <w:t>Dual protection with barrier methods is recommended to reduce the risk of STIs, including HIV.</w:t>
      </w:r>
    </w:p>
    <w:p w14:paraId="032E3F09" w14:textId="415E687A" w:rsidR="00CE4531" w:rsidRPr="00220635" w:rsidRDefault="00CE4531" w:rsidP="00A44CB6">
      <w:r w:rsidRPr="00220635">
        <w:t>The subdermal implant is an effective, safe, reversible</w:t>
      </w:r>
      <w:r w:rsidR="0066232A">
        <w:t>,</w:t>
      </w:r>
      <w:r w:rsidRPr="00220635">
        <w:t xml:space="preserve"> and convenient long-term contraceptive method </w:t>
      </w:r>
      <w:r w:rsidR="001A1053">
        <w:t>that does not require daily adherence or</w:t>
      </w:r>
      <w:r w:rsidRPr="00220635">
        <w:t xml:space="preserve"> </w:t>
      </w:r>
      <w:r w:rsidR="00AF58DD">
        <w:t>frequent</w:t>
      </w:r>
      <w:r w:rsidRPr="00220635">
        <w:t xml:space="preserve"> follow-up.</w:t>
      </w:r>
    </w:p>
    <w:p w14:paraId="2034DD17" w14:textId="77777777" w:rsidR="00CE4531" w:rsidRPr="00220635" w:rsidRDefault="00CE4531" w:rsidP="00A44CB6">
      <w:pPr>
        <w:pStyle w:val="BulletTherapeuticclass"/>
      </w:pPr>
      <w:r w:rsidRPr="00220635">
        <w:t>Progestin-only subdermal implant</w:t>
      </w:r>
      <w:r w:rsidR="00E30FA8" w:rsidRPr="00220635">
        <w:fldChar w:fldCharType="begin"/>
      </w:r>
      <w:r w:rsidR="00E30FA8" w:rsidRPr="00220635">
        <w:instrText xml:space="preserve"> XE "Progestin-only subdermal implant" \f "m" </w:instrText>
      </w:r>
      <w:r w:rsidR="00E30FA8" w:rsidRPr="00220635">
        <w:fldChar w:fldCharType="end"/>
      </w:r>
      <w:r w:rsidRPr="00220635">
        <w:t xml:space="preserve"> contraceptive, e.g.:</w:t>
      </w:r>
    </w:p>
    <w:p w14:paraId="27128444" w14:textId="77777777" w:rsidR="00CE4531" w:rsidRPr="00220635" w:rsidRDefault="00CE4531" w:rsidP="00A44CB6">
      <w:pPr>
        <w:pStyle w:val="BulletMedicine"/>
      </w:pPr>
      <w:r w:rsidRPr="00220635">
        <w:t>Etonogestrel, subdermal, 68 mg, single-rod implant</w:t>
      </w:r>
      <w:r w:rsidR="00E30FA8" w:rsidRPr="00220635">
        <w:fldChar w:fldCharType="begin"/>
      </w:r>
      <w:r w:rsidR="00E30FA8" w:rsidRPr="00220635">
        <w:instrText xml:space="preserve"> XE "Etonogestrel, subdermal implant" \f "m" </w:instrText>
      </w:r>
      <w:r w:rsidR="00E30FA8" w:rsidRPr="00220635">
        <w:fldChar w:fldCharType="end"/>
      </w:r>
      <w:r w:rsidRPr="00220635">
        <w:t>.</w:t>
      </w:r>
    </w:p>
    <w:p w14:paraId="0C68E512" w14:textId="21C52EC3" w:rsidR="00CE4531" w:rsidRPr="00220635" w:rsidRDefault="00CE4531" w:rsidP="00A44CB6">
      <w:r w:rsidRPr="00220635">
        <w:t xml:space="preserve">The progestin-only subdermal implant can be inserted </w:t>
      </w:r>
      <w:r w:rsidR="005C19D5">
        <w:t xml:space="preserve">at </w:t>
      </w:r>
      <w:r w:rsidRPr="00220635">
        <w:t>any time during the menstrual cycle, once pregnancy has been excluded. If the implant is inserted within 7 days of the onset of the menstrual cycle the contraceptive effect is achieved on the day of insertion.</w:t>
      </w:r>
    </w:p>
    <w:p w14:paraId="2F289824" w14:textId="389B67D6" w:rsidR="00CE4531" w:rsidRPr="00220635" w:rsidRDefault="00CE4531" w:rsidP="00A44CB6">
      <w:r w:rsidRPr="00220635">
        <w:t xml:space="preserve">The main reason for discontinuation of the implant is irregular bleeding. This </w:t>
      </w:r>
      <w:r w:rsidR="009E3DB6">
        <w:t xml:space="preserve">requires </w:t>
      </w:r>
      <w:r w:rsidRPr="00220635">
        <w:t xml:space="preserve">good counselling before the implant is inserted </w:t>
      </w:r>
      <w:r w:rsidR="00C647DB">
        <w:t>to inform</w:t>
      </w:r>
      <w:r w:rsidRPr="00220635">
        <w:t xml:space="preserve"> women that this side effect can occur</w:t>
      </w:r>
      <w:r w:rsidR="0023005F">
        <w:t xml:space="preserve"> and can be treated</w:t>
      </w:r>
      <w:r w:rsidRPr="00220635">
        <w:t>. See Section 7.6: Breakthrough bleeding with contraceptive use.</w:t>
      </w:r>
    </w:p>
    <w:p w14:paraId="4361642F" w14:textId="77777777" w:rsidR="00CE4531" w:rsidRPr="00220635" w:rsidRDefault="00CE4531" w:rsidP="00A44CB6">
      <w:r w:rsidRPr="00220635">
        <w:t>Progestin-only hormonal contraceptives are contraindicated in certain conditions e.g. unexplained vaginal bleeding, active liver disease. Consult the package insert in this regard.</w:t>
      </w:r>
    </w:p>
    <w:tbl>
      <w:tblPr>
        <w:tblpPr w:leftFromText="180" w:rightFromText="180" w:vertAnchor="text" w:horzAnchor="margin" w:tblpXSpec="right" w:tblpY="1933"/>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CF2348" w:rsidRPr="00220635" w14:paraId="51B801B8" w14:textId="77777777" w:rsidTr="00CF2348">
        <w:tc>
          <w:tcPr>
            <w:tcW w:w="907" w:type="dxa"/>
            <w:shd w:val="clear" w:color="auto" w:fill="FFFFFF" w:themeFill="background1"/>
          </w:tcPr>
          <w:p w14:paraId="0A4D4761" w14:textId="55F7B006" w:rsidR="00CF2348" w:rsidRPr="00220635" w:rsidRDefault="00CF2348" w:rsidP="00CF2348">
            <w:pPr>
              <w:pStyle w:val="LoEText"/>
              <w:framePr w:hSpace="0" w:wrap="auto" w:vAnchor="margin" w:hAnchor="text" w:xAlign="left" w:yAlign="inline"/>
              <w:suppressOverlap w:val="0"/>
            </w:pPr>
            <w:proofErr w:type="spellStart"/>
            <w:r w:rsidRPr="00220635">
              <w:lastRenderedPageBreak/>
              <w:t>LoE:III</w:t>
            </w:r>
            <w:r w:rsidR="00457199">
              <w:t>b</w:t>
            </w:r>
            <w:proofErr w:type="spellEnd"/>
            <w:r w:rsidRPr="00220635">
              <w:rPr>
                <w:rStyle w:val="EndnoteReference8"/>
              </w:rPr>
              <w:endnoteReference w:id="8"/>
            </w:r>
          </w:p>
        </w:tc>
      </w:tr>
    </w:tbl>
    <w:p w14:paraId="1B26D380" w14:textId="6A5E8FBB" w:rsidR="00CE4531" w:rsidRPr="00220635" w:rsidRDefault="00CF2348" w:rsidP="002D3D79">
      <w:pPr>
        <w:pStyle w:val="Centeredbox"/>
      </w:pPr>
      <w:r w:rsidRPr="00220635">
        <w:rPr>
          <w:rStyle w:val="Strong"/>
        </w:rPr>
        <w:t xml:space="preserve"> </w:t>
      </w:r>
      <w:r w:rsidR="00A44CB6" w:rsidRPr="00220635">
        <w:rPr>
          <w:rStyle w:val="Strong"/>
        </w:rPr>
        <w:t>CAUTION</w:t>
      </w:r>
      <w:r w:rsidR="002D3D79" w:rsidRPr="00220635">
        <w:br/>
      </w:r>
      <w:r w:rsidR="00A44CB6" w:rsidRPr="00220635">
        <w:t>Medicines that induce the metabolism of progestins could reduce contraceptive efficacy. These medicines include efavirenz, rifampicin, phenytoin, carbamazepine</w:t>
      </w:r>
      <w:r w:rsidR="00A85AFA">
        <w:t>,</w:t>
      </w:r>
      <w:r w:rsidR="00A44CB6" w:rsidRPr="00220635">
        <w:t xml:space="preserve"> and phenobarbital. </w:t>
      </w:r>
      <w:r w:rsidR="002D3D79" w:rsidRPr="00220635">
        <w:br/>
      </w:r>
      <w:r w:rsidR="00A44CB6" w:rsidRPr="00220635">
        <w:t>Women on these medicines should be advised to use alternate contraceptive methods such as the copper IUCD or DMPA.</w:t>
      </w:r>
      <w:r w:rsidR="002D3D79" w:rsidRPr="00220635">
        <w:br/>
      </w:r>
      <w:r w:rsidR="00A44CB6" w:rsidRPr="00220635">
        <w:t>If the client chooses to use the implant, then she should be advised to use dual contraception.</w:t>
      </w:r>
    </w:p>
    <w:p w14:paraId="3B8C9F4E" w14:textId="77777777" w:rsidR="00CE4531" w:rsidRPr="00220635" w:rsidRDefault="00CE4531" w:rsidP="00CE4531">
      <w:pPr>
        <w:pStyle w:val="NoSpacing"/>
        <w:rPr>
          <w:sz w:val="8"/>
          <w:szCs w:val="8"/>
        </w:rPr>
      </w:pPr>
    </w:p>
    <w:p w14:paraId="1CC849F5" w14:textId="77777777" w:rsidR="00CE4531" w:rsidRPr="00220635" w:rsidRDefault="00CE4531" w:rsidP="00CF2348">
      <w:pPr>
        <w:pStyle w:val="Heading6"/>
      </w:pPr>
      <w:r w:rsidRPr="00220635">
        <w:t>Insertion and removal procedures</w:t>
      </w:r>
    </w:p>
    <w:p w14:paraId="4AC9EE95" w14:textId="77777777" w:rsidR="00CE4531" w:rsidRPr="00220635" w:rsidRDefault="00CE4531" w:rsidP="00CF2348">
      <w:pPr>
        <w:pStyle w:val="ListParagraph"/>
      </w:pPr>
      <w:r w:rsidRPr="00220635">
        <w:t xml:space="preserve">Participation in a training session is strongly recommended to become familiar with the use of the subdermal implants and techniques for insertion and removal. </w:t>
      </w:r>
    </w:p>
    <w:p w14:paraId="3FD294E8" w14:textId="5E72EDAA" w:rsidR="00CE4531" w:rsidRPr="00220635" w:rsidRDefault="00CE4531" w:rsidP="00CF2348">
      <w:pPr>
        <w:pStyle w:val="ListParagraph"/>
      </w:pPr>
      <w:r w:rsidRPr="00220635">
        <w:t>Only health care professionals familiar with these procedures should insert and remove subdermal implants</w:t>
      </w:r>
      <w:r w:rsidR="00DF4BEF">
        <w:t>,</w:t>
      </w:r>
      <w:r w:rsidRPr="00220635">
        <w:t xml:space="preserve"> under aseptic conditions.</w:t>
      </w:r>
    </w:p>
    <w:p w14:paraId="0CA76CC3" w14:textId="77777777" w:rsidR="00CE4531" w:rsidRPr="00220635" w:rsidRDefault="00CE4531" w:rsidP="00CF2348">
      <w:pPr>
        <w:pStyle w:val="ListParagraph"/>
      </w:pPr>
      <w:r w:rsidRPr="00220635">
        <w:t xml:space="preserve">Insert the implant </w:t>
      </w:r>
      <w:proofErr w:type="spellStart"/>
      <w:r w:rsidRPr="00220635">
        <w:rPr>
          <w:rStyle w:val="Strong"/>
        </w:rPr>
        <w:t>subdermally</w:t>
      </w:r>
      <w:proofErr w:type="spellEnd"/>
      <w:r w:rsidRPr="00220635">
        <w:rPr>
          <w:rStyle w:val="Strong"/>
        </w:rPr>
        <w:t xml:space="preserve"> just under the skin of the upper non-dominant arm.</w:t>
      </w:r>
    </w:p>
    <w:p w14:paraId="0E043E93" w14:textId="3FFEF2D2" w:rsidR="00CE4531" w:rsidRPr="00220635" w:rsidRDefault="00CE4531" w:rsidP="00CF2348">
      <w:pPr>
        <w:pStyle w:val="ListParagraph"/>
      </w:pPr>
      <w:r w:rsidRPr="00220635">
        <w:rPr>
          <w:rStyle w:val="Strong"/>
        </w:rPr>
        <w:t>Important: Refer to the package inserts for detailed information</w:t>
      </w:r>
      <w:r w:rsidRPr="00220635">
        <w:t>.</w:t>
      </w:r>
    </w:p>
    <w:p w14:paraId="53E136B0" w14:textId="77777777" w:rsidR="00CE4531" w:rsidRPr="00220635" w:rsidRDefault="00CE4531" w:rsidP="008D19DA">
      <w:pPr>
        <w:pStyle w:val="Heading7"/>
      </w:pPr>
      <w:r w:rsidRPr="00220635">
        <w:t>Insertion of etonogestrel 68 mg implant:</w:t>
      </w:r>
    </w:p>
    <w:p w14:paraId="01FBDB01" w14:textId="77777777" w:rsidR="00CE4531" w:rsidRPr="00220635" w:rsidRDefault="00CE4531" w:rsidP="00202765">
      <w:pPr>
        <w:pStyle w:val="ListParagraph"/>
      </w:pPr>
      <w:r w:rsidRPr="00220635">
        <w:t>Insertion should only be performed with the preloaded applicator.</w:t>
      </w:r>
    </w:p>
    <w:p w14:paraId="360D5968" w14:textId="26D89CF0" w:rsidR="00CE4531" w:rsidRPr="00220635" w:rsidRDefault="00CE4531" w:rsidP="00202765">
      <w:pPr>
        <w:pStyle w:val="ListParagraph"/>
      </w:pPr>
      <w:r w:rsidRPr="00220635">
        <w:t>Have the wom</w:t>
      </w:r>
      <w:r w:rsidR="0059612D">
        <w:t>a</w:t>
      </w:r>
      <w:r w:rsidRPr="00220635">
        <w:t>n lie on her back on the examination table with her non-dominant arm flexed at the elbow and externally rotated so that her wrist is parallel to her ear and her hand is positioned next to her head</w:t>
      </w:r>
      <w:r w:rsidR="00A3097A">
        <w:t>.</w:t>
      </w:r>
    </w:p>
    <w:p w14:paraId="392BAC6C" w14:textId="34CF4262" w:rsidR="00CE4531" w:rsidRPr="00220635" w:rsidRDefault="00CE4531" w:rsidP="00202765">
      <w:pPr>
        <w:pStyle w:val="ListParagraph"/>
      </w:pPr>
      <w:r w:rsidRPr="00220635">
        <w:t xml:space="preserve">Identify anatomical surface markings to establish </w:t>
      </w:r>
      <w:r w:rsidR="00A7065F">
        <w:t xml:space="preserve">the </w:t>
      </w:r>
      <w:r w:rsidRPr="00220635">
        <w:t>area of insertion</w:t>
      </w:r>
      <w:r w:rsidR="00A7065F">
        <w:t>,</w:t>
      </w:r>
      <w:r w:rsidRPr="00220635">
        <w:t xml:space="preserve"> which is the inner side of the non-dominant upper arm about 8–10 cm above the medial epicondyle of the humerus, avoiding the sulcus (groove) between the biceps and triceps muscle and the large blood vessels and nerves situated in the neurovascular bundle deeper in the subcutaneous tissue.</w:t>
      </w:r>
    </w:p>
    <w:p w14:paraId="5B827A35" w14:textId="77777777" w:rsidR="00CE4531" w:rsidRPr="00220635" w:rsidRDefault="00CE4531" w:rsidP="00202765">
      <w:pPr>
        <w:pStyle w:val="ListParagraph"/>
      </w:pPr>
      <w:r w:rsidRPr="00220635">
        <w:t>Clean the insertion site with an antiseptic solution.</w:t>
      </w:r>
    </w:p>
    <w:p w14:paraId="37972E54" w14:textId="77777777" w:rsidR="00CE4531" w:rsidRPr="00220635" w:rsidRDefault="00CE4531" w:rsidP="00202765">
      <w:pPr>
        <w:pStyle w:val="ListParagraph"/>
      </w:pPr>
      <w:r w:rsidRPr="00220635">
        <w:t>Anaesthetise the insertion area.</w:t>
      </w:r>
    </w:p>
    <w:p w14:paraId="3DD915A5" w14:textId="77777777" w:rsidR="00CE4531" w:rsidRPr="00220635" w:rsidRDefault="00CE4531" w:rsidP="00202765">
      <w:pPr>
        <w:pStyle w:val="ListParagraph"/>
      </w:pPr>
      <w:r w:rsidRPr="00220635">
        <w:t>Mark the insertion site with a marker.</w:t>
      </w:r>
    </w:p>
    <w:p w14:paraId="4C203F92" w14:textId="5D28B59A" w:rsidR="00CE4531" w:rsidRPr="00220635" w:rsidRDefault="00CE4531" w:rsidP="00202765">
      <w:pPr>
        <w:pStyle w:val="ListParagraph"/>
      </w:pPr>
      <w:r w:rsidRPr="00220635">
        <w:t xml:space="preserve">Insert </w:t>
      </w:r>
      <w:r w:rsidR="00457B0B">
        <w:t>the imp</w:t>
      </w:r>
      <w:r w:rsidR="00A042C8">
        <w:t>l</w:t>
      </w:r>
      <w:r w:rsidR="00457B0B">
        <w:t xml:space="preserve">ant </w:t>
      </w:r>
      <w:proofErr w:type="spellStart"/>
      <w:proofErr w:type="gramStart"/>
      <w:r w:rsidRPr="00220635">
        <w:t>subdermally</w:t>
      </w:r>
      <w:proofErr w:type="spellEnd"/>
      <w:r w:rsidR="00060C39">
        <w:t>:</w:t>
      </w:r>
      <w:r w:rsidRPr="00220635">
        <w:t>.</w:t>
      </w:r>
      <w:proofErr w:type="gramEnd"/>
      <w:r w:rsidRPr="00220635">
        <w:t xml:space="preserve"> </w:t>
      </w:r>
    </w:p>
    <w:p w14:paraId="0C339BB5" w14:textId="55ADEF22" w:rsidR="00CE4531" w:rsidRPr="00220635" w:rsidRDefault="00CE4531" w:rsidP="00595B0C">
      <w:pPr>
        <w:pStyle w:val="ListParagraph"/>
        <w:numPr>
          <w:ilvl w:val="1"/>
          <w:numId w:val="4"/>
        </w:numPr>
      </w:pPr>
      <w:r w:rsidRPr="00220635">
        <w:t>Remove the transparent protection cap by sliding it horizontally in the direction of the arrow</w:t>
      </w:r>
      <w:r w:rsidR="00B01C68">
        <w:t>,</w:t>
      </w:r>
      <w:r w:rsidRPr="00220635">
        <w:t xml:space="preserve"> away from the needle.</w:t>
      </w:r>
    </w:p>
    <w:p w14:paraId="32E93629" w14:textId="0F43690F" w:rsidR="00CE4531" w:rsidRPr="00220635" w:rsidRDefault="00CE4531" w:rsidP="00595B0C">
      <w:pPr>
        <w:pStyle w:val="ListParagraph"/>
        <w:numPr>
          <w:ilvl w:val="1"/>
          <w:numId w:val="4"/>
        </w:numPr>
      </w:pPr>
      <w:r w:rsidRPr="00220635">
        <w:t>Puncture the skin with the tip of the needle slightly angled less than 30</w:t>
      </w:r>
      <w:r w:rsidRPr="00220635">
        <w:sym w:font="Symbol" w:char="F0B0"/>
      </w:r>
      <w:r w:rsidR="00570E42">
        <w:t xml:space="preserve"> relative to the skin surface</w:t>
      </w:r>
      <w:r w:rsidRPr="00220635">
        <w:t>.</w:t>
      </w:r>
    </w:p>
    <w:p w14:paraId="37CFA0B5" w14:textId="77777777" w:rsidR="00CE4531" w:rsidRPr="00220635" w:rsidRDefault="00CE4531" w:rsidP="00595B0C">
      <w:pPr>
        <w:pStyle w:val="ListParagraph"/>
        <w:numPr>
          <w:ilvl w:val="1"/>
          <w:numId w:val="4"/>
        </w:numPr>
      </w:pPr>
      <w:r w:rsidRPr="00220635">
        <w:t xml:space="preserve">Lower the applicator to a horizontal position. While lifting the skin with the tip of the needle, slide the needle to its full length. You should be able to see the applicator just below the skin. Be seated, looking at the applicator from the side and NOT from above to clearly see the insertion and positioning of the needle just under the skin. </w:t>
      </w:r>
    </w:p>
    <w:p w14:paraId="3355031E" w14:textId="77777777" w:rsidR="00CE4531" w:rsidRPr="00220635" w:rsidRDefault="00CE4531" w:rsidP="00595B0C">
      <w:pPr>
        <w:pStyle w:val="ListParagraph"/>
        <w:numPr>
          <w:ilvl w:val="1"/>
          <w:numId w:val="4"/>
        </w:numPr>
      </w:pPr>
      <w:r w:rsidRPr="00220635">
        <w:t>While keeping the applicator in the same position and the needle inserted to its full length, unlock the purple slider by pushing it slightly down. Move the slider fully back until it stops.</w:t>
      </w:r>
    </w:p>
    <w:p w14:paraId="5F6554B0" w14:textId="77777777" w:rsidR="00CE4531" w:rsidRPr="00220635" w:rsidRDefault="00CE4531" w:rsidP="00595B0C">
      <w:pPr>
        <w:pStyle w:val="ListParagraph"/>
        <w:numPr>
          <w:ilvl w:val="1"/>
          <w:numId w:val="4"/>
        </w:numPr>
      </w:pPr>
      <w:r w:rsidRPr="00220635">
        <w:t>The implant is now in its final subdermal position. Remove the applicator.</w:t>
      </w:r>
    </w:p>
    <w:p w14:paraId="4D6EC605" w14:textId="5F3CBA54" w:rsidR="00CE4531" w:rsidRPr="00220635" w:rsidRDefault="00CE4531" w:rsidP="00202765">
      <w:pPr>
        <w:pStyle w:val="ListParagraph"/>
      </w:pPr>
      <w:r w:rsidRPr="00220635">
        <w:t xml:space="preserve">Always verify the presence of the implant in the </w:t>
      </w:r>
      <w:r w:rsidR="00302FA4">
        <w:t>woman’s</w:t>
      </w:r>
      <w:r w:rsidR="00302FA4" w:rsidRPr="00220635">
        <w:t xml:space="preserve"> </w:t>
      </w:r>
      <w:r w:rsidRPr="00220635">
        <w:t xml:space="preserve">arm immediately after insertion by palpation and allow </w:t>
      </w:r>
      <w:r w:rsidR="003C1DA2">
        <w:t>her</w:t>
      </w:r>
      <w:r w:rsidRPr="00220635">
        <w:t xml:space="preserve"> to feel the implant as well.</w:t>
      </w:r>
    </w:p>
    <w:p w14:paraId="2DAF7EBE" w14:textId="37C50906" w:rsidR="00CE4531" w:rsidRPr="00220635" w:rsidRDefault="00CE4531" w:rsidP="00202765">
      <w:pPr>
        <w:pStyle w:val="ListParagraph"/>
      </w:pPr>
      <w:r w:rsidRPr="00220635">
        <w:lastRenderedPageBreak/>
        <w:t xml:space="preserve">Apply sterile gauze with a pressure bandage to minimise bruising. The </w:t>
      </w:r>
      <w:r w:rsidR="003C1DA2">
        <w:t>woman</w:t>
      </w:r>
      <w:r w:rsidR="003C1DA2" w:rsidRPr="00220635">
        <w:t xml:space="preserve"> </w:t>
      </w:r>
      <w:r w:rsidRPr="00220635">
        <w:t>may remove the pressure bandage in 24 hours and the small bandage over the insertion site after 3–5 days.</w:t>
      </w:r>
    </w:p>
    <w:p w14:paraId="409DF918" w14:textId="77777777" w:rsidR="00CE4531" w:rsidRPr="00220635" w:rsidRDefault="00CE4531" w:rsidP="00202765">
      <w:pPr>
        <w:pStyle w:val="Heading7"/>
      </w:pPr>
      <w:r w:rsidRPr="00220635">
        <w:t>Insertion of levonorgestrel 2 x 75 mg implants:</w:t>
      </w:r>
    </w:p>
    <w:p w14:paraId="0769DECC" w14:textId="1CDD6A4C" w:rsidR="00CE4531" w:rsidRPr="00220635" w:rsidRDefault="00CE4531" w:rsidP="00626425">
      <w:pPr>
        <w:pStyle w:val="ListParagraph"/>
      </w:pPr>
      <w:r w:rsidRPr="00220635">
        <w:t xml:space="preserve">Clean the </w:t>
      </w:r>
      <w:r w:rsidR="009C2B22">
        <w:t>woman</w:t>
      </w:r>
      <w:r w:rsidRPr="00220635">
        <w:t>‘s upper arm with an antiseptic solution.</w:t>
      </w:r>
    </w:p>
    <w:p w14:paraId="0394D9C2" w14:textId="77777777" w:rsidR="00CE4531" w:rsidRPr="00220635" w:rsidRDefault="00CE4531" w:rsidP="00626425">
      <w:pPr>
        <w:pStyle w:val="ListParagraph"/>
      </w:pPr>
      <w:r w:rsidRPr="00220635">
        <w:t>The optimal insertion area is in the medial aspect of the upper arm about 6-8 cm above the fold of the elbow.</w:t>
      </w:r>
    </w:p>
    <w:p w14:paraId="0CA755E9" w14:textId="77777777" w:rsidR="00595B0C" w:rsidRDefault="00595B0C" w:rsidP="00626425">
      <w:pPr>
        <w:pStyle w:val="ListParagraph"/>
      </w:pPr>
      <w:r>
        <w:t>Use the scalpel to make a small incision (about 2 mm) just through the dermis of the skin. Alternatively, the trocar may be inserted directly through the skin without making an incision.</w:t>
      </w:r>
    </w:p>
    <w:p w14:paraId="007289F3" w14:textId="004B190A" w:rsidR="00CE4531" w:rsidRPr="00220635" w:rsidRDefault="00CE4531" w:rsidP="00626425">
      <w:pPr>
        <w:pStyle w:val="ListParagraph"/>
      </w:pPr>
      <w:r w:rsidRPr="00220635">
        <w:t xml:space="preserve">The implants will be inserted </w:t>
      </w:r>
      <w:proofErr w:type="spellStart"/>
      <w:r w:rsidRPr="00220635">
        <w:t>subdermally</w:t>
      </w:r>
      <w:proofErr w:type="spellEnd"/>
      <w:r w:rsidRPr="00220635">
        <w:t>, in the shape of a narrow V, opening towards the armpit.</w:t>
      </w:r>
    </w:p>
    <w:p w14:paraId="27C01838" w14:textId="77777777" w:rsidR="00595B0C" w:rsidRDefault="00595B0C" w:rsidP="00626425">
      <w:pPr>
        <w:pStyle w:val="ListParagraph"/>
      </w:pPr>
      <w:r>
        <w:t>Anesthetise two areas about 4.5 cm long, to mimic the V shape of the implantation site.</w:t>
      </w:r>
    </w:p>
    <w:p w14:paraId="63D27545" w14:textId="79A771A7" w:rsidR="00CE4531" w:rsidRPr="00220635" w:rsidRDefault="00CE4531" w:rsidP="00626425">
      <w:pPr>
        <w:pStyle w:val="ListParagraph"/>
      </w:pPr>
      <w:r w:rsidRPr="00220635">
        <w:t>Mark the insertion site with a marker.</w:t>
      </w:r>
    </w:p>
    <w:p w14:paraId="1BE9CFCE" w14:textId="77777777" w:rsidR="00CE4531" w:rsidRPr="00220635" w:rsidRDefault="00CE4531" w:rsidP="00626425">
      <w:pPr>
        <w:pStyle w:val="ListParagraph"/>
      </w:pPr>
      <w:r w:rsidRPr="00220635">
        <w:t>Open the implant pouch by pulling apart the ﬁlm of the pouch and let the two implants drop on a sterile cloth. Note: Always use sterile gloves or forceps when handling the implants. If an implant is contaminated, e.g. falls on the ﬂoor leave it for later disposal. Open a new package and continue with the procedure.</w:t>
      </w:r>
    </w:p>
    <w:p w14:paraId="73D5CF59" w14:textId="77777777" w:rsidR="00CE4531" w:rsidRPr="00220635" w:rsidRDefault="00CE4531" w:rsidP="00626425">
      <w:pPr>
        <w:pStyle w:val="ListParagraph"/>
      </w:pPr>
      <w:r w:rsidRPr="00220635">
        <w:t xml:space="preserve">The implant is provided with a disposable trocar that is sharp enough to penetrate the skin directly. </w:t>
      </w:r>
      <w:proofErr w:type="gramStart"/>
      <w:r w:rsidRPr="00220635">
        <w:t>Thus</w:t>
      </w:r>
      <w:proofErr w:type="gramEnd"/>
      <w:r w:rsidRPr="00220635">
        <w:t xml:space="preserve"> the disposable trocar can be used to puncture the skin and insert the rods, without the need for an incision.</w:t>
      </w:r>
    </w:p>
    <w:p w14:paraId="6C808E67" w14:textId="2D8475E8" w:rsidR="00CE4531" w:rsidRPr="00220635" w:rsidRDefault="00CE4531" w:rsidP="00626425">
      <w:pPr>
        <w:pStyle w:val="ListParagraph"/>
      </w:pPr>
      <w:r w:rsidRPr="00220635">
        <w:t>The trocar has two marks. One mark is close to the handle and one close to the tip. When inserting the implants, the mark closest to the handle indicates how far the trocar should be introduced under the skin before loading each implant. The mark closest to the tip indicates how much of the trocar should be left under the skin after the insertion of the ﬁrst implant. When inserting the trocar, avoid touching the part of the trocar that will go under the skin.</w:t>
      </w:r>
    </w:p>
    <w:p w14:paraId="1AE3F60A" w14:textId="41468CC1" w:rsidR="00CE4531" w:rsidRPr="00220635" w:rsidRDefault="00CE4531" w:rsidP="00626425">
      <w:pPr>
        <w:pStyle w:val="ListParagraph"/>
      </w:pPr>
      <w:r w:rsidRPr="00220635">
        <w:t xml:space="preserve">Once the tip of the trocar is beneath the skin it should be directed along the </w:t>
      </w:r>
      <w:r w:rsidR="00A021BF">
        <w:t>subdermal plane</w:t>
      </w:r>
      <w:r w:rsidRPr="00220635">
        <w:t xml:space="preserve"> horizontally by pointing </w:t>
      </w:r>
      <w:r w:rsidR="007D6552">
        <w:t xml:space="preserve">it </w:t>
      </w:r>
      <w:r w:rsidRPr="00220635">
        <w:t xml:space="preserve">slightly upwards </w:t>
      </w:r>
      <w:r w:rsidR="00F5077F">
        <w:t>and</w:t>
      </w:r>
      <w:r w:rsidRPr="00220635">
        <w:t xml:space="preserve"> raising the skin (tenting).</w:t>
      </w:r>
      <w:r w:rsidR="00996EDE">
        <w:t xml:space="preserve"> F</w:t>
      </w:r>
      <w:r w:rsidR="00996EDE" w:rsidRPr="00220635">
        <w:t xml:space="preserve">ailure to </w:t>
      </w:r>
      <w:r w:rsidR="00640071">
        <w:t>keep the trocar in the subdermal plane</w:t>
      </w:r>
      <w:r w:rsidR="00996EDE" w:rsidRPr="00220635">
        <w:t xml:space="preserve"> may result in deep placement of the implants</w:t>
      </w:r>
      <w:r w:rsidR="00996EDE">
        <w:t>,</w:t>
      </w:r>
      <w:r w:rsidR="00996EDE" w:rsidRPr="00220635">
        <w:t xml:space="preserve"> causing a more difficult removal.</w:t>
      </w:r>
      <w:r w:rsidRPr="00220635">
        <w:t xml:space="preserve"> Throughout the insertion procedure, the trocar should be oriented with the bevel up. </w:t>
      </w:r>
    </w:p>
    <w:p w14:paraId="36629169" w14:textId="7647C037" w:rsidR="00CE4531" w:rsidRPr="00220635" w:rsidRDefault="00CE4531" w:rsidP="00626425">
      <w:pPr>
        <w:pStyle w:val="ListParagraph"/>
      </w:pPr>
      <w:r w:rsidRPr="00220635">
        <w:t>Advance the trocar beneath the skin about 5.5 cm from the incision to the mark closest to the handle of the trocar. Do not force the trocar, and if you feel any resistance, try another direction.</w:t>
      </w:r>
    </w:p>
    <w:p w14:paraId="7E713053" w14:textId="77777777" w:rsidR="00CE4531" w:rsidRPr="00220635" w:rsidRDefault="00CE4531" w:rsidP="00626425">
      <w:pPr>
        <w:pStyle w:val="ListParagraph"/>
      </w:pPr>
      <w:r w:rsidRPr="00220635">
        <w:t>Remove the plunger when the trocar is advanced to the correct mark.</w:t>
      </w:r>
    </w:p>
    <w:p w14:paraId="5757CF6B" w14:textId="39A5F438" w:rsidR="00CE4531" w:rsidRPr="00220635" w:rsidRDefault="00CE4531" w:rsidP="00626425">
      <w:pPr>
        <w:pStyle w:val="ListParagraph"/>
      </w:pPr>
      <w:r w:rsidRPr="00220635">
        <w:t>Load the first implant into the trocar</w:t>
      </w:r>
      <w:r w:rsidR="003834E6">
        <w:t xml:space="preserve"> with</w:t>
      </w:r>
      <w:r w:rsidRPr="00220635">
        <w:t xml:space="preserve"> either tweezers or fingers.</w:t>
      </w:r>
    </w:p>
    <w:p w14:paraId="5EBD3208" w14:textId="77777777" w:rsidR="00CE4531" w:rsidRPr="00220635" w:rsidRDefault="00CE4531" w:rsidP="00626425">
      <w:pPr>
        <w:pStyle w:val="ListParagraph"/>
      </w:pPr>
      <w:r w:rsidRPr="00220635">
        <w:t>Push the implant gently with the plunger to the tip of the trocar until you feel resistance. Never force the plunger.</w:t>
      </w:r>
    </w:p>
    <w:p w14:paraId="1B3547E8" w14:textId="77777777" w:rsidR="00CE4531" w:rsidRPr="00220635" w:rsidRDefault="00CE4531" w:rsidP="00626425">
      <w:pPr>
        <w:pStyle w:val="ListParagraph"/>
      </w:pPr>
      <w:r w:rsidRPr="00220635">
        <w:t xml:space="preserve">Hold the plunger steady and pull the trocar back along it until it touches the handle of the plunger. </w:t>
      </w:r>
      <w:proofErr w:type="spellStart"/>
      <w:r w:rsidRPr="00220635">
        <w:t>lt</w:t>
      </w:r>
      <w:proofErr w:type="spellEnd"/>
      <w:r w:rsidRPr="00220635">
        <w:t xml:space="preserve"> is important to keep the plunger steady and not to push the implant into the tissue. </w:t>
      </w:r>
    </w:p>
    <w:p w14:paraId="66145171" w14:textId="77777777" w:rsidR="00CE4531" w:rsidRPr="00220635" w:rsidRDefault="00CE4531" w:rsidP="00626425">
      <w:pPr>
        <w:pStyle w:val="ListParagraph"/>
      </w:pPr>
      <w:r w:rsidRPr="00220635">
        <w:t>Do not completely remove the trocar until both implants have been placed. The trocar is withdrawn only to the mark closest to its tip.</w:t>
      </w:r>
    </w:p>
    <w:p w14:paraId="348544CD" w14:textId="77777777" w:rsidR="00CE4531" w:rsidRPr="00220635" w:rsidRDefault="00CE4531" w:rsidP="00626425">
      <w:pPr>
        <w:pStyle w:val="ListParagraph"/>
      </w:pPr>
      <w:r w:rsidRPr="00220635">
        <w:lastRenderedPageBreak/>
        <w:t>When you can see the mark near the tip of the trocar in the incision, the implant has been released and will remain in place beneath the skin. You can check this by palpation.</w:t>
      </w:r>
    </w:p>
    <w:p w14:paraId="77AD43C3" w14:textId="77777777" w:rsidR="00CE4531" w:rsidRPr="00220635" w:rsidRDefault="00CE4531" w:rsidP="00626425">
      <w:pPr>
        <w:pStyle w:val="ListParagraph"/>
      </w:pPr>
      <w:r w:rsidRPr="00220635">
        <w:t xml:space="preserve">Insert the second implant next to the first one, to form a V shape. Fix the position of the first implant with the left fore-ﬁnger and advance the trocar along the side of the ﬁnger. This will ensure a suitable distance between implants. To prevent expulsions, leave </w:t>
      </w:r>
      <w:proofErr w:type="gramStart"/>
      <w:r w:rsidRPr="00220635">
        <w:t>a distance of about</w:t>
      </w:r>
      <w:proofErr w:type="gramEnd"/>
      <w:r w:rsidRPr="00220635">
        <w:t xml:space="preserve"> 5 mm between the incision and the ends of the implants. You can check their correct position by cautious palpation of the insertion area.</w:t>
      </w:r>
    </w:p>
    <w:p w14:paraId="4D0D8122" w14:textId="0E959E51" w:rsidR="00CE4531" w:rsidRPr="00220635" w:rsidRDefault="00CE4531" w:rsidP="00626425">
      <w:pPr>
        <w:pStyle w:val="ListParagraph"/>
      </w:pPr>
      <w:r w:rsidRPr="00220635">
        <w:t xml:space="preserve">After inserting the second implant, </w:t>
      </w:r>
      <w:r w:rsidR="00446210">
        <w:t xml:space="preserve">press </w:t>
      </w:r>
      <w:r w:rsidRPr="00220635">
        <w:t>the edges of the incision together, close with a skin closure and dress</w:t>
      </w:r>
      <w:r w:rsidR="000B6049">
        <w:t xml:space="preserve"> the wound</w:t>
      </w:r>
      <w:r w:rsidRPr="00220635">
        <w:t>.</w:t>
      </w:r>
    </w:p>
    <w:p w14:paraId="1A1FC168" w14:textId="1CE73230" w:rsidR="00CE4531" w:rsidRPr="00220635" w:rsidRDefault="00CE4531" w:rsidP="00626425">
      <w:pPr>
        <w:pStyle w:val="ListParagraph"/>
      </w:pPr>
      <w:r w:rsidRPr="00220635">
        <w:t xml:space="preserve">Advise the </w:t>
      </w:r>
      <w:r w:rsidR="00B13A40">
        <w:t>woman</w:t>
      </w:r>
      <w:r w:rsidR="00B13A40" w:rsidRPr="00220635">
        <w:t xml:space="preserve"> </w:t>
      </w:r>
      <w:r w:rsidRPr="00220635">
        <w:t>to keep the insertion area dry for 3 days.</w:t>
      </w:r>
    </w:p>
    <w:p w14:paraId="4F4B7445" w14:textId="77777777" w:rsidR="00CE4531" w:rsidRPr="00220635" w:rsidRDefault="00CE4531" w:rsidP="00626425">
      <w:pPr>
        <w:pStyle w:val="ListParagraph"/>
      </w:pPr>
      <w:r w:rsidRPr="00220635">
        <w:t>The gauze and the bandage may be removed as soon as the incision has healed, usually after 3–5 days.</w:t>
      </w:r>
    </w:p>
    <w:p w14:paraId="1CB84B78" w14:textId="77777777" w:rsidR="00CE4531" w:rsidRPr="00220635" w:rsidRDefault="00CE4531" w:rsidP="00626425">
      <w:pPr>
        <w:pStyle w:val="Heading7"/>
      </w:pPr>
      <w:r w:rsidRPr="00220635">
        <w:t xml:space="preserve">For pain after insertion: </w:t>
      </w:r>
    </w:p>
    <w:p w14:paraId="6533EA3F" w14:textId="77777777" w:rsidR="00CE4531" w:rsidRPr="00220635" w:rsidRDefault="00CE4531" w:rsidP="00626425">
      <w:pPr>
        <w:pStyle w:val="BulletMedicine"/>
      </w:pPr>
      <w:r w:rsidRPr="00220635">
        <w:t>Ibuprofen, oral</w:t>
      </w:r>
      <w:r w:rsidR="00E30FA8" w:rsidRPr="00220635">
        <w:fldChar w:fldCharType="begin"/>
      </w:r>
      <w:r w:rsidR="00E30FA8" w:rsidRPr="00220635">
        <w:instrText xml:space="preserve"> XE "Ibuprofen, oral" \f "m" </w:instrText>
      </w:r>
      <w:r w:rsidR="00E30FA8" w:rsidRPr="00220635">
        <w:fldChar w:fldCharType="end"/>
      </w:r>
      <w:r w:rsidRPr="00220635">
        <w:t>, 400 mg 8 hourly with or after a meal as needed for up to 5 days.</w:t>
      </w:r>
    </w:p>
    <w:p w14:paraId="13AE60CF" w14:textId="77777777" w:rsidR="00CE4531" w:rsidRPr="00220635" w:rsidRDefault="00CE4531" w:rsidP="00626425">
      <w:pPr>
        <w:pStyle w:val="Heading7"/>
      </w:pPr>
      <w:r w:rsidRPr="00220635">
        <w:t>Removal of progestin-only subdermal implants:</w:t>
      </w:r>
    </w:p>
    <w:p w14:paraId="23C4AA96" w14:textId="77777777" w:rsidR="00CE4531" w:rsidRPr="00220635" w:rsidRDefault="00CE4531" w:rsidP="00CE4531">
      <w:pPr>
        <w:pStyle w:val="NoSpacing"/>
      </w:pPr>
      <w:r w:rsidRPr="00220635">
        <w:t>Remove etonogestrel implants at the end of 3 years and levonorgestrel implants at the end of 5 years.</w:t>
      </w:r>
    </w:p>
    <w:p w14:paraId="4AD0F79C" w14:textId="08292BD4" w:rsidR="00CE4531" w:rsidRPr="00220635" w:rsidRDefault="00CE4531" w:rsidP="00626425">
      <w:pPr>
        <w:pStyle w:val="ListParagraph"/>
      </w:pPr>
      <w:r w:rsidRPr="00220635">
        <w:t>Locate the implant</w:t>
      </w:r>
      <w:r w:rsidR="001B5789">
        <w:t>/s</w:t>
      </w:r>
      <w:r w:rsidRPr="00220635">
        <w:t xml:space="preserve"> by palpation. If impalpable refer for ultrasound removal.</w:t>
      </w:r>
    </w:p>
    <w:p w14:paraId="4DB80193" w14:textId="77777777" w:rsidR="00CE4531" w:rsidRPr="00220635" w:rsidRDefault="00CE4531" w:rsidP="00626425">
      <w:pPr>
        <w:pStyle w:val="ListParagraph"/>
      </w:pPr>
      <w:r w:rsidRPr="00220635">
        <w:t>Clean the removal site with an antiseptic solution.</w:t>
      </w:r>
    </w:p>
    <w:p w14:paraId="27213F71" w14:textId="77777777" w:rsidR="00CE4531" w:rsidRPr="00220635" w:rsidRDefault="00CE4531" w:rsidP="00626425">
      <w:pPr>
        <w:pStyle w:val="ListParagraph"/>
      </w:pPr>
      <w:r w:rsidRPr="00220635">
        <w:t>Anaesthetise the removal area.</w:t>
      </w:r>
    </w:p>
    <w:p w14:paraId="418BA020" w14:textId="77777777" w:rsidR="00CE4531" w:rsidRPr="00220635" w:rsidRDefault="00CE4531" w:rsidP="00626425">
      <w:pPr>
        <w:pStyle w:val="ListParagraph"/>
      </w:pPr>
      <w:r w:rsidRPr="00220635">
        <w:t>Push down the proximal end of the implant and a bulge may appear to indicate the distal end of the implant.</w:t>
      </w:r>
    </w:p>
    <w:p w14:paraId="248ACFCE" w14:textId="77777777" w:rsidR="00CE4531" w:rsidRPr="00220635" w:rsidRDefault="00CE4531" w:rsidP="00626425">
      <w:pPr>
        <w:pStyle w:val="ListParagraph"/>
      </w:pPr>
      <w:r w:rsidRPr="00220635">
        <w:t>Make a 2-4 mm vertical incision with the scalpel close to the distal end of the implant, towards the elbow.</w:t>
      </w:r>
    </w:p>
    <w:p w14:paraId="7C52E60D" w14:textId="77777777" w:rsidR="00CE4531" w:rsidRPr="00220635" w:rsidRDefault="00CE4531" w:rsidP="00626425">
      <w:pPr>
        <w:pStyle w:val="ListParagraph"/>
      </w:pPr>
      <w:r w:rsidRPr="00220635">
        <w:t>Remove the implant very gently, using a small forceps (preferably curved mosquito forceps). Where an implant is encapsulated, dissect the tissue sheath to remove the implant with the forceps.</w:t>
      </w:r>
    </w:p>
    <w:p w14:paraId="13508739" w14:textId="77777777" w:rsidR="00CE4531" w:rsidRPr="00220635" w:rsidRDefault="00CE4531" w:rsidP="00626425">
      <w:pPr>
        <w:pStyle w:val="ListParagraph"/>
      </w:pPr>
      <w:r w:rsidRPr="00220635">
        <w:t xml:space="preserve">Confirm that the complete implant has been removed by measuring the length (etonogestrel rod: 40 mm; levonorgestrel rods: 43 mm). Close the incision with a </w:t>
      </w:r>
      <w:proofErr w:type="spellStart"/>
      <w:r w:rsidRPr="00220635">
        <w:t>steristrip</w:t>
      </w:r>
      <w:proofErr w:type="spellEnd"/>
      <w:r w:rsidRPr="00220635">
        <w:t xml:space="preserve"> or plaster and dress.</w:t>
      </w:r>
    </w:p>
    <w:p w14:paraId="70295EA4" w14:textId="255D0568" w:rsidR="00CE4531" w:rsidRPr="00220635" w:rsidRDefault="00CE4531" w:rsidP="00595B0C">
      <w:pPr>
        <w:pStyle w:val="ListParagraph"/>
      </w:pPr>
      <w:r w:rsidRPr="00220635">
        <w:t xml:space="preserve">Advise the </w:t>
      </w:r>
      <w:r w:rsidR="00B13A40">
        <w:t>woman</w:t>
      </w:r>
      <w:r w:rsidR="00B13A40" w:rsidRPr="00220635">
        <w:t xml:space="preserve"> </w:t>
      </w:r>
      <w:r w:rsidRPr="00220635">
        <w:t xml:space="preserve">to keep the arm dry for a few days. </w:t>
      </w:r>
    </w:p>
    <w:p w14:paraId="7E20A326" w14:textId="77777777" w:rsidR="00CE4531" w:rsidRPr="00220635" w:rsidRDefault="00CE4531" w:rsidP="00626425">
      <w:pPr>
        <w:pStyle w:val="Heading5"/>
      </w:pPr>
      <w:r w:rsidRPr="00220635">
        <w:t>REFERRAL</w:t>
      </w:r>
    </w:p>
    <w:p w14:paraId="451FE676" w14:textId="77777777" w:rsidR="00CE4531" w:rsidRPr="00220635" w:rsidRDefault="00CE4531" w:rsidP="00626425">
      <w:pPr>
        <w:pStyle w:val="ListParagraph"/>
      </w:pPr>
      <w:r w:rsidRPr="00220635">
        <w:t>Heavy or prolonged bleeding, despite treatment with COCs.</w:t>
      </w:r>
    </w:p>
    <w:p w14:paraId="73D907DE" w14:textId="5FDEF3EB" w:rsidR="00CE4531" w:rsidRPr="00220635" w:rsidRDefault="00CE4531" w:rsidP="00626425">
      <w:pPr>
        <w:pStyle w:val="ListParagraph"/>
      </w:pPr>
      <w:r w:rsidRPr="00220635">
        <w:t>Infection at insertion site, inadequately responding to initial course of antibiotic treatment. See Section 5.4.3: Cellulitis.</w:t>
      </w:r>
    </w:p>
    <w:p w14:paraId="680FC908" w14:textId="77777777" w:rsidR="00CE4531" w:rsidRPr="00220635" w:rsidRDefault="00CE4531" w:rsidP="00626425">
      <w:pPr>
        <w:pStyle w:val="ListParagraph"/>
      </w:pPr>
      <w:r w:rsidRPr="00220635">
        <w:t>Failure to locate an implant (in the arm) by palpation.</w:t>
      </w:r>
    </w:p>
    <w:p w14:paraId="59510CFC" w14:textId="4DCE3AEA" w:rsidR="00BE3516" w:rsidRPr="004877CA" w:rsidRDefault="00BE3516" w:rsidP="00BE3516">
      <w:pPr>
        <w:pStyle w:val="Heading3"/>
      </w:pPr>
      <w:bookmarkStart w:id="6" w:name="_Toc66085695"/>
      <w:r w:rsidRPr="004877CA">
        <w:t xml:space="preserve">Levonorgestrel intra-uterine </w:t>
      </w:r>
      <w:r w:rsidR="004A5A14" w:rsidRPr="004877CA">
        <w:t xml:space="preserve">DEVICE </w:t>
      </w:r>
      <w:r w:rsidRPr="004877CA">
        <w:t>(LNG-</w:t>
      </w:r>
      <w:r w:rsidR="004A5A14" w:rsidRPr="004877CA">
        <w:t>IUD</w:t>
      </w:r>
      <w:r w:rsidRPr="004877CA">
        <w:t>)</w:t>
      </w:r>
      <w:bookmarkEnd w:id="6"/>
      <w:r w:rsidRPr="00220635">
        <w:fldChar w:fldCharType="begin"/>
      </w:r>
      <w:r w:rsidRPr="004877CA">
        <w:instrText xml:space="preserve"> XE "Injectable contraception" \f "c"</w:instrText>
      </w:r>
      <w:r w:rsidRPr="00220635">
        <w:fldChar w:fldCharType="end"/>
      </w:r>
    </w:p>
    <w:p w14:paraId="156C1869" w14:textId="77777777" w:rsidR="00CF7176" w:rsidRPr="00220635" w:rsidRDefault="00CF7176" w:rsidP="00CF7176">
      <w:pPr>
        <w:pStyle w:val="ICD10"/>
      </w:pPr>
      <w:r w:rsidRPr="00220635">
        <w:t>Z30.0/Z30.4/Z30.8</w:t>
      </w:r>
    </w:p>
    <w:p w14:paraId="6EF12718" w14:textId="77777777" w:rsidR="00BE3516" w:rsidRPr="00220635" w:rsidRDefault="00BE3516" w:rsidP="00BE3516">
      <w:r w:rsidRPr="00220635">
        <w:t>Dual protection with barrier methods is recommended to reduce the risk of STIs including HIV.</w:t>
      </w:r>
    </w:p>
    <w:p w14:paraId="3475B157" w14:textId="1D84BAC0" w:rsidR="00BE3516" w:rsidRPr="00220635" w:rsidRDefault="00BE3516" w:rsidP="00BE3516">
      <w:r w:rsidRPr="00220635">
        <w:t>The LNG-</w:t>
      </w:r>
      <w:r w:rsidR="004A5A14" w:rsidRPr="00220635">
        <w:t xml:space="preserve">IUD </w:t>
      </w:r>
      <w:r w:rsidRPr="00220635">
        <w:t>is an effective, safe, reversible</w:t>
      </w:r>
      <w:r w:rsidR="00BB486C">
        <w:t>,</w:t>
      </w:r>
      <w:r w:rsidRPr="00220635">
        <w:t xml:space="preserve"> long-term contraceptive method </w:t>
      </w:r>
      <w:r w:rsidR="00BB486C">
        <w:t>that</w:t>
      </w:r>
      <w:r w:rsidRPr="00220635">
        <w:t xml:space="preserve"> has minimal hormonal adverse effects and is not prone to drug interactions.</w:t>
      </w:r>
      <w:r w:rsidR="00BB486C" w:rsidRPr="00BB486C">
        <w:t xml:space="preserve"> </w:t>
      </w:r>
      <w:r w:rsidR="00BB486C">
        <w:t>It does not require daily adherence or frequent follow up</w:t>
      </w:r>
      <w:r w:rsidR="004741CA">
        <w:t>.</w:t>
      </w:r>
    </w:p>
    <w:p w14:paraId="53D5EB9C" w14:textId="278E2451" w:rsidR="004671A4" w:rsidRPr="00220635" w:rsidRDefault="004671A4" w:rsidP="004671A4">
      <w:pPr>
        <w:pStyle w:val="BulletTherapeuticclass"/>
      </w:pPr>
      <w:r w:rsidRPr="00220635">
        <w:lastRenderedPageBreak/>
        <w:t xml:space="preserve">Progestin-only </w:t>
      </w:r>
      <w:r w:rsidR="003B6633" w:rsidRPr="00220635">
        <w:t xml:space="preserve">intrauterine </w:t>
      </w:r>
      <w:r w:rsidR="004A5A14" w:rsidRPr="00220635">
        <w:t>device</w:t>
      </w:r>
      <w:r w:rsidRPr="00220635">
        <w:fldChar w:fldCharType="begin"/>
      </w:r>
      <w:r w:rsidRPr="00220635">
        <w:instrText xml:space="preserve"> XE "Progestin-only </w:instrText>
      </w:r>
      <w:r w:rsidR="003B6633" w:rsidRPr="00220635">
        <w:instrText>intrauterine system</w:instrText>
      </w:r>
      <w:r w:rsidRPr="00220635">
        <w:instrText xml:space="preserve">" \f "m" </w:instrText>
      </w:r>
      <w:r w:rsidRPr="00220635">
        <w:fldChar w:fldCharType="end"/>
      </w:r>
      <w:r w:rsidRPr="00220635">
        <w:t>, e.g.:</w:t>
      </w:r>
    </w:p>
    <w:tbl>
      <w:tblPr>
        <w:tblpPr w:leftFromText="180" w:rightFromText="180" w:vertAnchor="text" w:horzAnchor="margin" w:tblpXSpec="right" w:tblpY="15"/>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AA5610" w:rsidRPr="00220635" w14:paraId="615277F9" w14:textId="77777777" w:rsidTr="00AA5610">
        <w:tc>
          <w:tcPr>
            <w:tcW w:w="907" w:type="dxa"/>
            <w:shd w:val="clear" w:color="auto" w:fill="FFFFFF" w:themeFill="background1"/>
          </w:tcPr>
          <w:p w14:paraId="6AEEAC3C" w14:textId="0C94D4F9" w:rsidR="00AA5610" w:rsidRPr="00220635" w:rsidRDefault="00AA5610" w:rsidP="00AA5610">
            <w:pPr>
              <w:pStyle w:val="LoEText"/>
              <w:framePr w:hSpace="0" w:wrap="auto" w:vAnchor="margin" w:hAnchor="text" w:xAlign="left" w:yAlign="inline"/>
              <w:suppressOverlap w:val="0"/>
            </w:pPr>
            <w:proofErr w:type="spellStart"/>
            <w:r w:rsidRPr="00220635">
              <w:t>LoE:I</w:t>
            </w:r>
            <w:r w:rsidR="00457199">
              <w:t>Ib</w:t>
            </w:r>
            <w:proofErr w:type="spellEnd"/>
            <w:r w:rsidRPr="00220635">
              <w:rPr>
                <w:rStyle w:val="EndnoteReference8"/>
              </w:rPr>
              <w:endnoteReference w:id="9"/>
            </w:r>
          </w:p>
        </w:tc>
      </w:tr>
    </w:tbl>
    <w:p w14:paraId="50BCB1A3" w14:textId="3921E1D0" w:rsidR="004671A4" w:rsidRPr="00220635" w:rsidRDefault="003B6633" w:rsidP="004671A4">
      <w:pPr>
        <w:pStyle w:val="BulletMedicine"/>
      </w:pPr>
      <w:r w:rsidRPr="00220635">
        <w:t xml:space="preserve">Levonorgestrel, intrauterine </w:t>
      </w:r>
      <w:r w:rsidR="004A5A14" w:rsidRPr="00220635">
        <w:t>device</w:t>
      </w:r>
      <w:r w:rsidR="004671A4" w:rsidRPr="00220635">
        <w:t xml:space="preserve">, </w:t>
      </w:r>
      <w:r w:rsidRPr="00220635">
        <w:t>52 mg</w:t>
      </w:r>
      <w:r w:rsidR="004671A4" w:rsidRPr="00220635">
        <w:fldChar w:fldCharType="begin"/>
      </w:r>
      <w:r w:rsidR="004671A4" w:rsidRPr="00220635">
        <w:instrText xml:space="preserve"> XE "</w:instrText>
      </w:r>
      <w:r w:rsidRPr="00220635">
        <w:instrText>Levonorgestrel</w:instrText>
      </w:r>
      <w:r w:rsidR="004671A4" w:rsidRPr="00220635">
        <w:instrText xml:space="preserve">, </w:instrText>
      </w:r>
      <w:r w:rsidRPr="00220635">
        <w:instrText>intrauterine system</w:instrText>
      </w:r>
      <w:r w:rsidR="004671A4" w:rsidRPr="00220635">
        <w:instrText xml:space="preserve">" \f "m" </w:instrText>
      </w:r>
      <w:r w:rsidR="004671A4" w:rsidRPr="00220635">
        <w:fldChar w:fldCharType="end"/>
      </w:r>
      <w:r w:rsidR="004671A4" w:rsidRPr="00220635">
        <w:t>.</w:t>
      </w:r>
    </w:p>
    <w:p w14:paraId="19908799" w14:textId="77777777" w:rsidR="00AA5610" w:rsidRPr="00220635" w:rsidRDefault="00AA5610" w:rsidP="00AA5610">
      <w:pPr>
        <w:spacing w:before="0" w:after="0"/>
      </w:pPr>
    </w:p>
    <w:p w14:paraId="0148E324" w14:textId="63E0AEC5" w:rsidR="00BE3516" w:rsidRPr="00220635" w:rsidRDefault="00BE3516" w:rsidP="0048246D">
      <w:pPr>
        <w:pStyle w:val="Centeredbox"/>
        <w:spacing w:before="0" w:line="276" w:lineRule="auto"/>
        <w:rPr>
          <w:rStyle w:val="Strong"/>
        </w:rPr>
      </w:pPr>
      <w:r w:rsidRPr="00220635">
        <w:rPr>
          <w:rStyle w:val="Strong"/>
        </w:rPr>
        <w:t>HIV infection is NOT a contra-ind</w:t>
      </w:r>
      <w:r w:rsidR="00CF7176" w:rsidRPr="00220635">
        <w:rPr>
          <w:rStyle w:val="Strong"/>
        </w:rPr>
        <w:t>ication to the use of an LNG-</w:t>
      </w:r>
      <w:r w:rsidR="004A5A14" w:rsidRPr="00220635">
        <w:rPr>
          <w:rStyle w:val="Strong"/>
        </w:rPr>
        <w:t>IUD.</w:t>
      </w:r>
    </w:p>
    <w:tbl>
      <w:tblPr>
        <w:tblpPr w:leftFromText="180" w:rightFromText="180" w:vertAnchor="text" w:horzAnchor="margin" w:tblpXSpec="right" w:tblpY="-1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4A5A14" w:rsidRPr="00220635" w14:paraId="009B566D" w14:textId="77777777" w:rsidTr="00851108">
        <w:tc>
          <w:tcPr>
            <w:tcW w:w="907" w:type="dxa"/>
            <w:shd w:val="clear" w:color="auto" w:fill="FFFFFF" w:themeFill="background1"/>
          </w:tcPr>
          <w:p w14:paraId="132153DF" w14:textId="551EC67C" w:rsidR="004A5A14" w:rsidRPr="00220635" w:rsidRDefault="004A5A14" w:rsidP="00851108">
            <w:pPr>
              <w:pStyle w:val="LoEText"/>
              <w:framePr w:hSpace="0" w:wrap="auto" w:vAnchor="margin" w:hAnchor="text" w:xAlign="left" w:yAlign="inline"/>
              <w:suppressOverlap w:val="0"/>
            </w:pPr>
            <w:proofErr w:type="spellStart"/>
            <w:r w:rsidRPr="00220635">
              <w:t>LoE:III</w:t>
            </w:r>
            <w:r w:rsidR="00457199">
              <w:t>b</w:t>
            </w:r>
            <w:proofErr w:type="spellEnd"/>
            <w:r w:rsidRPr="00220635">
              <w:rPr>
                <w:rStyle w:val="EndnoteReference8"/>
              </w:rPr>
              <w:endnoteReference w:id="10"/>
            </w:r>
          </w:p>
        </w:tc>
      </w:tr>
    </w:tbl>
    <w:p w14:paraId="7488FF0E" w14:textId="77777777" w:rsidR="004A5A14" w:rsidRPr="00220635" w:rsidRDefault="004A5A14" w:rsidP="004A5A14">
      <w:pPr>
        <w:spacing w:before="0"/>
      </w:pPr>
    </w:p>
    <w:p w14:paraId="643E8CEE" w14:textId="1BAA0ED3" w:rsidR="00BE3516" w:rsidRPr="00220635" w:rsidRDefault="00CF7176" w:rsidP="004A5A14">
      <w:pPr>
        <w:spacing w:before="0"/>
      </w:pPr>
      <w:r w:rsidRPr="00220635">
        <w:t>The LNG-</w:t>
      </w:r>
      <w:r w:rsidR="004A5A14" w:rsidRPr="00220635">
        <w:t xml:space="preserve">IUD </w:t>
      </w:r>
      <w:r w:rsidR="00BE3516" w:rsidRPr="00220635">
        <w:t xml:space="preserve">is a T-shaped plastic device that steadily releases a small amount of levonorgestrel every day. It has the added benefit of reducing </w:t>
      </w:r>
      <w:r w:rsidR="008E2BEC">
        <w:t>menstrual</w:t>
      </w:r>
      <w:r w:rsidR="008E2BEC" w:rsidRPr="00220635">
        <w:t xml:space="preserve"> </w:t>
      </w:r>
      <w:r w:rsidR="00BE3516" w:rsidRPr="00220635">
        <w:t xml:space="preserve">cramping and heavy menstrual bleeding. It  can be inserted </w:t>
      </w:r>
      <w:r w:rsidR="006A6E4B" w:rsidRPr="00220635">
        <w:t>by specially trained hea</w:t>
      </w:r>
      <w:r w:rsidR="008E2BEC">
        <w:t>l</w:t>
      </w:r>
      <w:r w:rsidR="006A6E4B" w:rsidRPr="00220635">
        <w:t xml:space="preserve">th care professionals, </w:t>
      </w:r>
      <w:r w:rsidR="00B77F7B">
        <w:t xml:space="preserve">at </w:t>
      </w:r>
      <w:r w:rsidR="00BE3516" w:rsidRPr="00220635">
        <w:t>any time during the menstrual cycle</w:t>
      </w:r>
      <w:r w:rsidR="00B77F7B">
        <w:t>,</w:t>
      </w:r>
      <w:r w:rsidR="00BE3516" w:rsidRPr="00220635">
        <w:t xml:space="preserve"> once pregnancy has been excluded (by clinical history or with a pregnancy test if required). Insertion at menstruation may be easier for the </w:t>
      </w:r>
      <w:proofErr w:type="spellStart"/>
      <w:r w:rsidR="00FC7880">
        <w:t>woman</w:t>
      </w:r>
      <w:r w:rsidR="00BE3516" w:rsidRPr="00220635">
        <w:t>t</w:t>
      </w:r>
      <w:proofErr w:type="spellEnd"/>
      <w:r w:rsidR="004F22A5">
        <w:t>, and</w:t>
      </w:r>
      <w:r w:rsidR="00BE3516" w:rsidRPr="00220635">
        <w:t xml:space="preserve"> result</w:t>
      </w:r>
      <w:r w:rsidR="004F22A5">
        <w:t>s</w:t>
      </w:r>
      <w:r w:rsidR="00BE3516" w:rsidRPr="00220635">
        <w:t xml:space="preserve"> in less discomfort and spotting. </w:t>
      </w:r>
      <w:r w:rsidRPr="00220635">
        <w:t>For use</w:t>
      </w:r>
      <w:r w:rsidR="00BE3516" w:rsidRPr="00220635">
        <w:t xml:space="preserve"> by women of any age, regardless </w:t>
      </w:r>
      <w:r w:rsidR="007005E0">
        <w:t xml:space="preserve">of whether </w:t>
      </w:r>
      <w:r w:rsidR="00BE3516" w:rsidRPr="00220635">
        <w:t xml:space="preserve">they had children before. </w:t>
      </w:r>
    </w:p>
    <w:p w14:paraId="4EB170C9" w14:textId="0D316499" w:rsidR="00BE3516" w:rsidRPr="00220635" w:rsidRDefault="00CF7176" w:rsidP="006A6E4B">
      <w:r w:rsidRPr="00220635">
        <w:t>LNG-</w:t>
      </w:r>
      <w:r w:rsidR="004A5A14" w:rsidRPr="00220635">
        <w:t xml:space="preserve">IUD </w:t>
      </w:r>
      <w:r w:rsidR="00BE3516" w:rsidRPr="00220635">
        <w:t>may be inserted immediately postpartum or post miscarriage (within 48 hours) provid</w:t>
      </w:r>
      <w:r w:rsidR="000A084B">
        <w:t>ed</w:t>
      </w:r>
      <w:r w:rsidR="00BE3516" w:rsidRPr="00220635">
        <w:t xml:space="preserve"> that no contra-indications are present (chorioamnionitis, ruptured membranes for more than 18 hours </w:t>
      </w:r>
      <w:r w:rsidR="006A6E4B" w:rsidRPr="00220635">
        <w:t>or</w:t>
      </w:r>
      <w:r w:rsidR="00BE3516" w:rsidRPr="00220635">
        <w:t xml:space="preserve"> postpartum haemorrhage).</w:t>
      </w:r>
      <w:r w:rsidR="006A6E4B" w:rsidRPr="00220635">
        <w:t xml:space="preserve"> </w:t>
      </w:r>
      <w:proofErr w:type="gramStart"/>
      <w:r w:rsidR="004F5E24">
        <w:t>P</w:t>
      </w:r>
      <w:r w:rsidR="006A6E4B" w:rsidRPr="00220635">
        <w:t>rovider</w:t>
      </w:r>
      <w:proofErr w:type="gramEnd"/>
      <w:r w:rsidR="006A6E4B" w:rsidRPr="00220635">
        <w:t xml:space="preserve"> </w:t>
      </w:r>
      <w:r w:rsidRPr="00220635">
        <w:t xml:space="preserve">require </w:t>
      </w:r>
      <w:r w:rsidR="006A6E4B" w:rsidRPr="00220635">
        <w:t xml:space="preserve">specific training in postpartum insertion </w:t>
      </w:r>
      <w:r w:rsidRPr="00220635">
        <w:t>by hand or using a ring forceps</w:t>
      </w:r>
      <w:r w:rsidR="006A6E4B" w:rsidRPr="00220635">
        <w:t>.</w:t>
      </w:r>
    </w:p>
    <w:p w14:paraId="4FD7ECC3" w14:textId="27000BD7" w:rsidR="00BE3516" w:rsidRPr="00220635" w:rsidRDefault="00CF7176" w:rsidP="00BE3516">
      <w:r w:rsidRPr="00220635">
        <w:t>LNG-</w:t>
      </w:r>
      <w:r w:rsidR="004A5A14" w:rsidRPr="00220635">
        <w:t xml:space="preserve">IUD </w:t>
      </w:r>
      <w:r w:rsidR="00BE3516" w:rsidRPr="00220635">
        <w:t xml:space="preserve">may </w:t>
      </w:r>
      <w:r w:rsidRPr="00220635">
        <w:t xml:space="preserve">also </w:t>
      </w:r>
      <w:r w:rsidR="00BE3516" w:rsidRPr="00220635">
        <w:t>be inserted at 4</w:t>
      </w:r>
      <w:r w:rsidR="006A6E4B" w:rsidRPr="00220635">
        <w:t xml:space="preserve"> or more</w:t>
      </w:r>
      <w:r w:rsidR="00BE3516" w:rsidRPr="00220635">
        <w:t xml:space="preserve"> weeks postpartum. </w:t>
      </w:r>
    </w:p>
    <w:p w14:paraId="29A2DF2A" w14:textId="01DF9252" w:rsidR="00BE3516" w:rsidRPr="00220635" w:rsidRDefault="00BE3516" w:rsidP="00BE3516">
      <w:pPr>
        <w:pStyle w:val="NoSpacing"/>
      </w:pPr>
      <w:r w:rsidRPr="00220635">
        <w:t xml:space="preserve">Advise </w:t>
      </w:r>
      <w:r w:rsidR="009F4051">
        <w:t>women</w:t>
      </w:r>
      <w:r w:rsidRPr="00220635">
        <w:t xml:space="preserve"> when to return:</w:t>
      </w:r>
    </w:p>
    <w:p w14:paraId="68581E6E" w14:textId="1BF5B47A" w:rsidR="00BE3516" w:rsidRPr="00220635" w:rsidRDefault="00BE3516" w:rsidP="00BE3516">
      <w:pPr>
        <w:pStyle w:val="ListParagraph"/>
      </w:pPr>
      <w:r w:rsidRPr="00220635">
        <w:t xml:space="preserve">Expulsion of </w:t>
      </w:r>
      <w:r w:rsidR="00CF7176" w:rsidRPr="00220635">
        <w:t>LNG-</w:t>
      </w:r>
      <w:r w:rsidR="004A5A14" w:rsidRPr="00220635">
        <w:t xml:space="preserve">IUD </w:t>
      </w:r>
      <w:r w:rsidRPr="00220635">
        <w:t xml:space="preserve">or if strings of the </w:t>
      </w:r>
      <w:r w:rsidR="00CF7176" w:rsidRPr="00220635">
        <w:t>LNG-</w:t>
      </w:r>
      <w:r w:rsidR="004A5A14" w:rsidRPr="00220635">
        <w:t xml:space="preserve">IUD </w:t>
      </w:r>
      <w:r w:rsidRPr="00220635">
        <w:t>protrude.</w:t>
      </w:r>
    </w:p>
    <w:p w14:paraId="17944971" w14:textId="2A847EEA" w:rsidR="00BE3516" w:rsidRPr="00220635" w:rsidRDefault="00BE3516" w:rsidP="00BE3516">
      <w:pPr>
        <w:pStyle w:val="ListParagraph"/>
      </w:pPr>
      <w:r w:rsidRPr="00220635">
        <w:t xml:space="preserve">Complications </w:t>
      </w:r>
      <w:r w:rsidR="00862D01" w:rsidRPr="00220635">
        <w:t xml:space="preserve">(excessive bleeding, excessive pain, fever or </w:t>
      </w:r>
      <w:proofErr w:type="gramStart"/>
      <w:r w:rsidR="00862D01" w:rsidRPr="00220635">
        <w:t>foul smelling</w:t>
      </w:r>
      <w:proofErr w:type="gramEnd"/>
      <w:r w:rsidR="00862D01" w:rsidRPr="00220635">
        <w:t xml:space="preserve"> discharge).</w:t>
      </w:r>
    </w:p>
    <w:tbl>
      <w:tblPr>
        <w:tblpPr w:leftFromText="180" w:rightFromText="180" w:vertAnchor="text" w:horzAnchor="margin" w:tblpXSpec="right" w:tblpY="-1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BE3516" w:rsidRPr="00220635" w14:paraId="4E6021EE" w14:textId="77777777" w:rsidTr="00CF7176">
        <w:tc>
          <w:tcPr>
            <w:tcW w:w="907" w:type="dxa"/>
            <w:shd w:val="clear" w:color="auto" w:fill="FFFFFF" w:themeFill="background1"/>
          </w:tcPr>
          <w:p w14:paraId="2ED2219C" w14:textId="254E698B" w:rsidR="00BE3516" w:rsidRPr="00220635" w:rsidRDefault="00BE3516" w:rsidP="00CF7176">
            <w:pPr>
              <w:pStyle w:val="LoEText"/>
              <w:framePr w:hSpace="0" w:wrap="auto" w:vAnchor="margin" w:hAnchor="text" w:xAlign="left" w:yAlign="inline"/>
              <w:suppressOverlap w:val="0"/>
            </w:pPr>
            <w:proofErr w:type="spellStart"/>
            <w:r w:rsidRPr="00220635">
              <w:t>LoE:III</w:t>
            </w:r>
            <w:r w:rsidR="00457199">
              <w:t>b</w:t>
            </w:r>
            <w:proofErr w:type="spellEnd"/>
            <w:r w:rsidRPr="00220635">
              <w:rPr>
                <w:rStyle w:val="EndnoteReference8"/>
              </w:rPr>
              <w:endnoteReference w:id="11"/>
            </w:r>
          </w:p>
        </w:tc>
      </w:tr>
    </w:tbl>
    <w:p w14:paraId="59029382" w14:textId="0C0E06CC" w:rsidR="00BE3516" w:rsidRDefault="00BE3516" w:rsidP="00BE3516">
      <w:pPr>
        <w:pStyle w:val="ListParagraph"/>
      </w:pPr>
      <w:r w:rsidRPr="00220635">
        <w:t>Routine follow-up after 3–6 weeks.</w:t>
      </w:r>
    </w:p>
    <w:p w14:paraId="7CB6BDF0" w14:textId="4EADE067" w:rsidR="00C41C20" w:rsidRPr="00220635" w:rsidRDefault="00C41C20" w:rsidP="00C41C20">
      <w:pPr>
        <w:pStyle w:val="ListParagraph"/>
      </w:pPr>
      <w:r>
        <w:t>First time migraine or severe headaches during use</w:t>
      </w:r>
      <w:r w:rsidR="009F4051">
        <w:t>.</w:t>
      </w:r>
    </w:p>
    <w:p w14:paraId="52E1B938" w14:textId="5B4B5A51" w:rsidR="00BE3516" w:rsidRPr="00220635" w:rsidRDefault="00CF7176" w:rsidP="00BE3516">
      <w:r w:rsidRPr="00220635">
        <w:t>LNG-</w:t>
      </w:r>
      <w:r w:rsidR="004A5A14" w:rsidRPr="00220635">
        <w:t xml:space="preserve">IUD </w:t>
      </w:r>
      <w:r w:rsidR="00BE3516" w:rsidRPr="00220635">
        <w:t xml:space="preserve">is not recommended for women with </w:t>
      </w:r>
      <w:r w:rsidR="002C3169" w:rsidRPr="00220635">
        <w:t xml:space="preserve">acute </w:t>
      </w:r>
      <w:r w:rsidR="00F6420C" w:rsidRPr="00220635">
        <w:t>venous thromboembolism</w:t>
      </w:r>
      <w:r w:rsidR="006A6E4B" w:rsidRPr="00220635">
        <w:t>, severe liver ci</w:t>
      </w:r>
      <w:r w:rsidR="00F336F0" w:rsidRPr="00220635">
        <w:t>rr</w:t>
      </w:r>
      <w:r w:rsidR="006A6E4B" w:rsidRPr="00220635">
        <w:t>hosis</w:t>
      </w:r>
      <w:r w:rsidR="00BE3516" w:rsidRPr="00220635">
        <w:t>, active pelvic inflammatory disease (PID), purulent cervicitis, unexplained uterine bleeding, cervical</w:t>
      </w:r>
      <w:r w:rsidR="006A6E4B" w:rsidRPr="00220635">
        <w:t>- breast- ovarian- or</w:t>
      </w:r>
      <w:r w:rsidR="00BE3516" w:rsidRPr="00220635">
        <w:t xml:space="preserve"> endometrial cancers</w:t>
      </w:r>
      <w:r w:rsidR="00D821E7">
        <w:t>,</w:t>
      </w:r>
      <w:r w:rsidR="00BE3516" w:rsidRPr="00220635">
        <w:t xml:space="preserve"> or other uterine abnormalities.</w:t>
      </w:r>
    </w:p>
    <w:p w14:paraId="388B6EC3" w14:textId="77777777" w:rsidR="00BE3516" w:rsidRPr="00220635" w:rsidRDefault="00BE3516" w:rsidP="00BE3516">
      <w:pPr>
        <w:pStyle w:val="Heading7"/>
      </w:pPr>
      <w:r w:rsidRPr="00220635">
        <w:t xml:space="preserve">For mild pain and discomfort after insertion: </w:t>
      </w:r>
    </w:p>
    <w:tbl>
      <w:tblPr>
        <w:tblpPr w:leftFromText="180" w:rightFromText="180" w:vertAnchor="text" w:horzAnchor="margin" w:tblpXSpec="right" w:tblpY="-1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BE53B0" w:rsidRPr="00220635" w14:paraId="507D627D" w14:textId="77777777" w:rsidTr="00F336F0">
        <w:tc>
          <w:tcPr>
            <w:tcW w:w="907" w:type="dxa"/>
            <w:shd w:val="clear" w:color="auto" w:fill="FFFFFF" w:themeFill="background1"/>
          </w:tcPr>
          <w:p w14:paraId="00AEE46A" w14:textId="2352626B" w:rsidR="00BE53B0" w:rsidRPr="00220635" w:rsidRDefault="00BE53B0" w:rsidP="00BE53B0">
            <w:pPr>
              <w:pStyle w:val="LoEText"/>
              <w:framePr w:hSpace="0" w:wrap="auto" w:vAnchor="margin" w:hAnchor="text" w:xAlign="left" w:yAlign="inline"/>
              <w:suppressOverlap w:val="0"/>
            </w:pPr>
            <w:proofErr w:type="spellStart"/>
            <w:r w:rsidRPr="00220635">
              <w:t>LoE:I</w:t>
            </w:r>
            <w:r w:rsidR="0048246D" w:rsidRPr="00220635">
              <w:t>V</w:t>
            </w:r>
            <w:r w:rsidR="00457199">
              <w:t>b</w:t>
            </w:r>
            <w:proofErr w:type="spellEnd"/>
          </w:p>
        </w:tc>
      </w:tr>
    </w:tbl>
    <w:p w14:paraId="58250B60" w14:textId="77777777" w:rsidR="00BE3516" w:rsidRPr="00220635" w:rsidRDefault="00BE3516" w:rsidP="00BE3516">
      <w:pPr>
        <w:pStyle w:val="BulletMedicine"/>
      </w:pPr>
      <w:r w:rsidRPr="00220635">
        <w:t>Ibuprofen, oral</w:t>
      </w:r>
      <w:r w:rsidRPr="00220635">
        <w:fldChar w:fldCharType="begin"/>
      </w:r>
      <w:r w:rsidRPr="00220635">
        <w:instrText xml:space="preserve"> XE "Ibuprofen, oral" \f "m" </w:instrText>
      </w:r>
      <w:r w:rsidRPr="00220635">
        <w:fldChar w:fldCharType="end"/>
      </w:r>
      <w:r w:rsidRPr="00220635">
        <w:t>, 400 mg 8 hourly with or after a meal as needed for up to 3 days.</w:t>
      </w:r>
    </w:p>
    <w:p w14:paraId="2032483B" w14:textId="77777777" w:rsidR="00BE3516" w:rsidRPr="00220635" w:rsidRDefault="00BE3516" w:rsidP="00BE3516">
      <w:pPr>
        <w:pStyle w:val="Heading5"/>
      </w:pPr>
      <w:r w:rsidRPr="00220635">
        <w:t>REFERRAL</w:t>
      </w:r>
    </w:p>
    <w:p w14:paraId="4409B78E" w14:textId="77777777" w:rsidR="00BE3516" w:rsidRPr="00220635" w:rsidRDefault="00BE3516" w:rsidP="00BE3516">
      <w:pPr>
        <w:pStyle w:val="ListParagraph"/>
      </w:pPr>
      <w:r w:rsidRPr="00220635">
        <w:t>Excessive pain or bleeding after insertion.</w:t>
      </w:r>
    </w:p>
    <w:p w14:paraId="43D39E4C" w14:textId="77777777" w:rsidR="00BE3516" w:rsidRPr="00220635" w:rsidRDefault="00BE3516" w:rsidP="00BE3516">
      <w:pPr>
        <w:pStyle w:val="ListParagraph"/>
      </w:pPr>
      <w:r w:rsidRPr="00220635">
        <w:t>Signs of infection within 7 days of insertion (e.g. fever, abdominal pain and/or foul-smelling discharge).</w:t>
      </w:r>
    </w:p>
    <w:p w14:paraId="02408BE9" w14:textId="6231C580" w:rsidR="00054C03" w:rsidRDefault="00BE3516" w:rsidP="002C3169">
      <w:pPr>
        <w:pStyle w:val="ListParagraph"/>
      </w:pPr>
      <w:r w:rsidRPr="00220635">
        <w:t>Abnormal bleeding for &gt; 3 months.</w:t>
      </w:r>
    </w:p>
    <w:p w14:paraId="7B19055B" w14:textId="258499C0" w:rsidR="00C41C20" w:rsidRPr="00220635" w:rsidRDefault="00C41C20" w:rsidP="00C41C20">
      <w:pPr>
        <w:pStyle w:val="ListParagraph"/>
      </w:pPr>
      <w:r>
        <w:t>First time migraine or severe headaches</w:t>
      </w:r>
      <w:r w:rsidR="00851108">
        <w:t>.</w:t>
      </w:r>
      <w:r>
        <w:t xml:space="preserve"> </w:t>
      </w:r>
    </w:p>
    <w:tbl>
      <w:tblPr>
        <w:tblpPr w:leftFromText="180" w:rightFromText="180" w:vertAnchor="text" w:horzAnchor="margin" w:tblpXSpec="right" w:tblpY="3"/>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BC2F62" w:rsidRPr="00220635" w14:paraId="6261A359" w14:textId="77777777" w:rsidTr="00B66E6D">
        <w:tc>
          <w:tcPr>
            <w:tcW w:w="907" w:type="dxa"/>
            <w:shd w:val="clear" w:color="auto" w:fill="FFFFFF" w:themeFill="background1"/>
          </w:tcPr>
          <w:p w14:paraId="265D3FB4" w14:textId="36F1A508" w:rsidR="00BC2F62" w:rsidRPr="00220635" w:rsidRDefault="00BC2F62" w:rsidP="00B66E6D">
            <w:pPr>
              <w:pStyle w:val="LoEText"/>
              <w:framePr w:hSpace="0" w:wrap="auto" w:vAnchor="margin" w:hAnchor="text" w:xAlign="left" w:yAlign="inline"/>
              <w:suppressOverlap w:val="0"/>
            </w:pPr>
            <w:proofErr w:type="spellStart"/>
            <w:r w:rsidRPr="00220635">
              <w:t>LoE:I</w:t>
            </w:r>
            <w:r w:rsidR="00457199">
              <w:t>Vb</w:t>
            </w:r>
            <w:proofErr w:type="spellEnd"/>
            <w:r w:rsidRPr="00220635">
              <w:rPr>
                <w:rStyle w:val="EndnoteReference8"/>
              </w:rPr>
              <w:endnoteReference w:id="12"/>
            </w:r>
          </w:p>
        </w:tc>
      </w:tr>
    </w:tbl>
    <w:p w14:paraId="6CAA2EB8" w14:textId="77777777" w:rsidR="00BE3516" w:rsidRPr="00220635" w:rsidRDefault="00BE3516" w:rsidP="00BE53B0"/>
    <w:p w14:paraId="45DBE6FC" w14:textId="77777777" w:rsidR="00CE4531" w:rsidRPr="00220635" w:rsidRDefault="00161B0A" w:rsidP="00BE53B0">
      <w:pPr>
        <w:pStyle w:val="Heading3"/>
        <w:spacing w:before="0"/>
      </w:pPr>
      <w:bookmarkStart w:id="7" w:name="_Toc66085696"/>
      <w:r w:rsidRPr="00220635">
        <w:t>Injectable</w:t>
      </w:r>
      <w:bookmarkEnd w:id="7"/>
      <w:r w:rsidR="00E30FA8" w:rsidRPr="00220635">
        <w:fldChar w:fldCharType="begin"/>
      </w:r>
      <w:r w:rsidR="00E30FA8" w:rsidRPr="00220635">
        <w:instrText xml:space="preserve"> XE "Injectable contraception" \f "c"</w:instrText>
      </w:r>
      <w:r w:rsidR="00E30FA8" w:rsidRPr="00220635">
        <w:fldChar w:fldCharType="end"/>
      </w:r>
    </w:p>
    <w:p w14:paraId="20393A73" w14:textId="77777777" w:rsidR="00CE4531" w:rsidRPr="00220635" w:rsidRDefault="00CE4531" w:rsidP="00161B0A">
      <w:pPr>
        <w:pStyle w:val="ICD10"/>
      </w:pPr>
      <w:r w:rsidRPr="00220635">
        <w:t>Z30.0/Z30.4</w:t>
      </w:r>
    </w:p>
    <w:p w14:paraId="4E840CA4" w14:textId="77777777" w:rsidR="00CE4531" w:rsidRPr="00220635" w:rsidRDefault="00CE4531" w:rsidP="00295EE9">
      <w:r w:rsidRPr="00220635">
        <w:t>Dual protection with barrier methods is recommended to reduce the risk of STIs, including HIV.</w:t>
      </w:r>
    </w:p>
    <w:p w14:paraId="3AE5D8A1" w14:textId="77777777" w:rsidR="00CE4531" w:rsidRPr="00220635" w:rsidRDefault="00CE4531" w:rsidP="00295EE9">
      <w:pPr>
        <w:pStyle w:val="BulletTherapeuticclass"/>
      </w:pPr>
      <w:r w:rsidRPr="00220635">
        <w:t>Progestin-only injectable</w:t>
      </w:r>
      <w:r w:rsidR="00E30FA8" w:rsidRPr="00220635">
        <w:fldChar w:fldCharType="begin"/>
      </w:r>
      <w:r w:rsidR="00E30FA8" w:rsidRPr="00220635">
        <w:instrText xml:space="preserve"> XE "Progestin-only injectable" \f "m" </w:instrText>
      </w:r>
      <w:r w:rsidR="00E30FA8" w:rsidRPr="00220635">
        <w:fldChar w:fldCharType="end"/>
      </w:r>
      <w:r w:rsidRPr="00220635">
        <w:t xml:space="preserve"> contraceptive, e.g.:</w:t>
      </w:r>
    </w:p>
    <w:tbl>
      <w:tblPr>
        <w:tblpPr w:leftFromText="180" w:rightFromText="180" w:vertAnchor="text" w:horzAnchor="margin" w:tblpXSpec="right" w:tblpY="3"/>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4505ED" w:rsidRPr="00220635" w14:paraId="099EA8B2" w14:textId="77777777" w:rsidTr="004505ED">
        <w:tc>
          <w:tcPr>
            <w:tcW w:w="907" w:type="dxa"/>
            <w:shd w:val="clear" w:color="auto" w:fill="FFFFFF" w:themeFill="background1"/>
          </w:tcPr>
          <w:p w14:paraId="1EB4654B" w14:textId="5E4CEEB0" w:rsidR="004505ED" w:rsidRPr="00220635" w:rsidRDefault="004505ED" w:rsidP="004505ED">
            <w:pPr>
              <w:pStyle w:val="LoEText"/>
              <w:framePr w:hSpace="0" w:wrap="auto" w:vAnchor="margin" w:hAnchor="text" w:xAlign="left" w:yAlign="inline"/>
              <w:suppressOverlap w:val="0"/>
            </w:pPr>
            <w:proofErr w:type="spellStart"/>
            <w:r w:rsidRPr="00220635">
              <w:lastRenderedPageBreak/>
              <w:t>LoE:</w:t>
            </w:r>
            <w:r w:rsidR="00457199">
              <w:t>I</w:t>
            </w:r>
            <w:r w:rsidRPr="00220635">
              <w:t>I</w:t>
            </w:r>
            <w:r w:rsidR="005E2C52">
              <w:t>Ib</w:t>
            </w:r>
            <w:proofErr w:type="spellEnd"/>
            <w:r w:rsidRPr="00220635">
              <w:rPr>
                <w:rStyle w:val="EndnoteReference8"/>
              </w:rPr>
              <w:endnoteReference w:id="13"/>
            </w:r>
          </w:p>
        </w:tc>
      </w:tr>
    </w:tbl>
    <w:p w14:paraId="26BA5BDA" w14:textId="77777777" w:rsidR="00CE4531" w:rsidRPr="00220635" w:rsidRDefault="00CE4531" w:rsidP="00295EE9">
      <w:pPr>
        <w:pStyle w:val="BulletMedicine"/>
      </w:pPr>
      <w:r w:rsidRPr="00220635">
        <w:t>Medroxyprogesterone (</w:t>
      </w:r>
      <w:proofErr w:type="gramStart"/>
      <w:r w:rsidRPr="00220635">
        <w:t>long-acting</w:t>
      </w:r>
      <w:proofErr w:type="gramEnd"/>
      <w:r w:rsidRPr="00220635">
        <w:t>)</w:t>
      </w:r>
      <w:r w:rsidR="00E30FA8" w:rsidRPr="00220635">
        <w:fldChar w:fldCharType="begin"/>
      </w:r>
      <w:r w:rsidR="00E30FA8" w:rsidRPr="00220635">
        <w:instrText xml:space="preserve"> XE "Medroxyprogesterone (long-acting)" \f "m" </w:instrText>
      </w:r>
      <w:r w:rsidR="00E30FA8" w:rsidRPr="00220635">
        <w:fldChar w:fldCharType="end"/>
      </w:r>
      <w:r w:rsidRPr="00220635">
        <w:t>, IM, 150 mg, 12 weekly.</w:t>
      </w:r>
    </w:p>
    <w:p w14:paraId="566293F5" w14:textId="77777777" w:rsidR="00CE4531" w:rsidRPr="00220635" w:rsidRDefault="00CE4531" w:rsidP="004505ED">
      <w:r w:rsidRPr="00220635">
        <w:t>Progestin-only hormonal contraceptives are contraindicated in certain conditions e.g. unexplained vaginal bleeding. Consult the package insert in this regard.</w:t>
      </w:r>
    </w:p>
    <w:p w14:paraId="1ED30F13" w14:textId="77777777" w:rsidR="00CE4531" w:rsidRPr="00220635" w:rsidRDefault="00CE4531" w:rsidP="004505ED">
      <w:pPr>
        <w:pStyle w:val="Heading7"/>
      </w:pPr>
      <w:r w:rsidRPr="00220635">
        <w:t>When to start the injection</w:t>
      </w:r>
    </w:p>
    <w:p w14:paraId="21F6030D" w14:textId="2DB873D1" w:rsidR="00CE4531" w:rsidRPr="00220635" w:rsidRDefault="00CE4531" w:rsidP="004505ED">
      <w:pPr>
        <w:pStyle w:val="ListParagraph"/>
      </w:pPr>
      <w:r w:rsidRPr="00220635">
        <w:t>The injection can be started anytime within the menstrual cycle, provided</w:t>
      </w:r>
      <w:r w:rsidR="004505ED" w:rsidRPr="00220635">
        <w:t xml:space="preserve"> </w:t>
      </w:r>
      <w:r w:rsidRPr="00220635">
        <w:t>pregnancy has been excluded. If the first injection is given within 7 days of the onset of the menstrual cycle</w:t>
      </w:r>
      <w:r w:rsidR="00B444CA">
        <w:t>,</w:t>
      </w:r>
      <w:r w:rsidRPr="00220635">
        <w:t xml:space="preserve"> the contraceptive effect is achieved on the day of the first injection.</w:t>
      </w:r>
    </w:p>
    <w:p w14:paraId="75DFD792" w14:textId="32B5A2F9" w:rsidR="00CE4531" w:rsidRPr="00220635" w:rsidRDefault="00CE4531" w:rsidP="004505ED">
      <w:pPr>
        <w:pStyle w:val="ListParagraph"/>
      </w:pPr>
      <w:r w:rsidRPr="00220635">
        <w:t>If started after day 7,</w:t>
      </w:r>
      <w:r w:rsidR="0015264B">
        <w:t>advise the woman to</w:t>
      </w:r>
      <w:r w:rsidRPr="00220635">
        <w:t xml:space="preserve"> abst</w:t>
      </w:r>
      <w:r w:rsidR="0015264B">
        <w:t>ain</w:t>
      </w:r>
      <w:r w:rsidRPr="00220635">
        <w:t xml:space="preserve"> from intercourse or use condoms for the next 7 days.</w:t>
      </w:r>
    </w:p>
    <w:tbl>
      <w:tblPr>
        <w:tblpPr w:leftFromText="180" w:rightFromText="180" w:vertAnchor="text" w:horzAnchor="margin" w:tblpXSpec="right" w:tblpY="4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D5744E" w:rsidRPr="00220635" w14:paraId="5A0D5A94" w14:textId="77777777" w:rsidTr="00D5744E">
        <w:tc>
          <w:tcPr>
            <w:tcW w:w="907" w:type="dxa"/>
            <w:shd w:val="clear" w:color="auto" w:fill="FFFFFF" w:themeFill="background1"/>
          </w:tcPr>
          <w:p w14:paraId="275DF1AE" w14:textId="29106BA6" w:rsidR="00D5744E" w:rsidRPr="00220635" w:rsidRDefault="00D5744E" w:rsidP="00D5744E">
            <w:pPr>
              <w:pStyle w:val="LoEText"/>
              <w:framePr w:hSpace="0" w:wrap="auto" w:vAnchor="margin" w:hAnchor="text" w:xAlign="left" w:yAlign="inline"/>
              <w:suppressOverlap w:val="0"/>
            </w:pPr>
            <w:proofErr w:type="spellStart"/>
            <w:r w:rsidRPr="00220635">
              <w:t>LoE:I</w:t>
            </w:r>
            <w:r w:rsidR="00457199">
              <w:t>Vb</w:t>
            </w:r>
            <w:proofErr w:type="spellEnd"/>
            <w:r w:rsidRPr="00220635">
              <w:rPr>
                <w:rStyle w:val="EndnoteReference8"/>
              </w:rPr>
              <w:endnoteReference w:id="14"/>
            </w:r>
          </w:p>
        </w:tc>
      </w:tr>
    </w:tbl>
    <w:p w14:paraId="4D58CCB6" w14:textId="77777777" w:rsidR="00CE4531" w:rsidRPr="00220635" w:rsidRDefault="00CE4531" w:rsidP="004505ED">
      <w:pPr>
        <w:pStyle w:val="ListParagraph"/>
      </w:pPr>
      <w:r w:rsidRPr="00220635">
        <w:t xml:space="preserve">Can be used postpartum. </w:t>
      </w:r>
    </w:p>
    <w:p w14:paraId="62B24000" w14:textId="77777777" w:rsidR="00CE4531" w:rsidRPr="00220635" w:rsidRDefault="00CE4531" w:rsidP="004505ED">
      <w:pPr>
        <w:pStyle w:val="Heading7"/>
      </w:pPr>
      <w:r w:rsidRPr="00220635">
        <w:t>Late injection</w:t>
      </w:r>
    </w:p>
    <w:p w14:paraId="6B4E30B1" w14:textId="5AE4D179" w:rsidR="00CE4531" w:rsidRPr="00220635" w:rsidRDefault="00CE4531" w:rsidP="00FB1B75">
      <w:pPr>
        <w:pStyle w:val="ListParagraph"/>
      </w:pPr>
      <w:r w:rsidRPr="00220635">
        <w:t>If it has been &lt;2 weeks since the missed injection, the next injection can be given without loss of protection. Continue with dual contraceptive method, i.e. condom in combination with the injection.</w:t>
      </w:r>
    </w:p>
    <w:p w14:paraId="31AED756" w14:textId="78C32C0D" w:rsidR="00CE4531" w:rsidRPr="00220635" w:rsidRDefault="00CE4531" w:rsidP="00FB1B75">
      <w:pPr>
        <w:pStyle w:val="ListParagraph"/>
      </w:pPr>
      <w:r w:rsidRPr="00220635">
        <w:t>If it has been &gt;2 weeks since the missed injection, exclude pregnancy:</w:t>
      </w:r>
    </w:p>
    <w:tbl>
      <w:tblPr>
        <w:tblStyle w:val="SamplePHCTable"/>
        <w:tblW w:w="5000" w:type="pct"/>
        <w:tblLook w:val="04A0" w:firstRow="1" w:lastRow="0" w:firstColumn="1" w:lastColumn="0" w:noHBand="0" w:noVBand="1"/>
      </w:tblPr>
      <w:tblGrid>
        <w:gridCol w:w="3111"/>
        <w:gridCol w:w="3568"/>
      </w:tblGrid>
      <w:tr w:rsidR="00CE4531" w:rsidRPr="00220635" w14:paraId="49C3E9A9" w14:textId="77777777" w:rsidTr="00FB1B75">
        <w:trPr>
          <w:cnfStyle w:val="100000000000" w:firstRow="1" w:lastRow="0" w:firstColumn="0" w:lastColumn="0" w:oddVBand="0" w:evenVBand="0" w:oddHBand="0" w:evenHBand="0" w:firstRowFirstColumn="0" w:firstRowLastColumn="0" w:lastRowFirstColumn="0" w:lastRowLastColumn="0"/>
        </w:trPr>
        <w:tc>
          <w:tcPr>
            <w:tcW w:w="2329" w:type="pct"/>
          </w:tcPr>
          <w:p w14:paraId="1B87BA6A" w14:textId="77777777" w:rsidR="00CE4531" w:rsidRPr="00220635" w:rsidRDefault="00CE4531" w:rsidP="00FB1B75">
            <w:pPr>
              <w:pStyle w:val="NoSpacing"/>
              <w:jc w:val="center"/>
            </w:pPr>
            <w:r w:rsidRPr="00220635">
              <w:t>Pregnancy test positive</w:t>
            </w:r>
          </w:p>
        </w:tc>
        <w:tc>
          <w:tcPr>
            <w:tcW w:w="2671" w:type="pct"/>
          </w:tcPr>
          <w:p w14:paraId="41072284" w14:textId="77777777" w:rsidR="00CE4531" w:rsidRPr="00220635" w:rsidRDefault="00CE4531" w:rsidP="00FB1B75">
            <w:pPr>
              <w:pStyle w:val="NoSpacing"/>
              <w:jc w:val="center"/>
            </w:pPr>
            <w:r w:rsidRPr="00220635">
              <w:t>Pregnancy test negative or unavailable</w:t>
            </w:r>
          </w:p>
        </w:tc>
      </w:tr>
      <w:tr w:rsidR="00CE4531" w:rsidRPr="00220635" w14:paraId="5C06DA09" w14:textId="77777777" w:rsidTr="00FB1B75">
        <w:tc>
          <w:tcPr>
            <w:tcW w:w="2329" w:type="pct"/>
          </w:tcPr>
          <w:p w14:paraId="7BE7CBB6" w14:textId="77777777" w:rsidR="00CE4531" w:rsidRPr="00220635" w:rsidRDefault="00CE4531" w:rsidP="009306DE">
            <w:pPr>
              <w:pStyle w:val="ListParagraph"/>
            </w:pPr>
            <w:r w:rsidRPr="00220635">
              <w:t>Refer for ante-natal care (See Section 6.4: Antenatal care).</w:t>
            </w:r>
          </w:p>
          <w:p w14:paraId="067F04B9" w14:textId="77777777" w:rsidR="00CE4531" w:rsidRPr="00220635" w:rsidRDefault="00CE4531" w:rsidP="00F70525">
            <w:pPr>
              <w:pStyle w:val="NoSpacing"/>
              <w:rPr>
                <w:rStyle w:val="Strong"/>
                <w:i/>
                <w:iCs/>
              </w:rPr>
            </w:pPr>
            <w:r w:rsidRPr="00220635">
              <w:rPr>
                <w:rStyle w:val="Strong"/>
                <w:i/>
                <w:iCs/>
              </w:rPr>
              <w:t xml:space="preserve">or </w:t>
            </w:r>
          </w:p>
          <w:p w14:paraId="51E4ED92" w14:textId="77777777" w:rsidR="00CE4531" w:rsidRPr="00220635" w:rsidRDefault="00CE4531" w:rsidP="009306DE">
            <w:pPr>
              <w:pStyle w:val="ListParagraph"/>
            </w:pPr>
            <w:r w:rsidRPr="00220635">
              <w:t>TOP, see Section 6.3: Termination of pregnancy (TOP).</w:t>
            </w:r>
          </w:p>
        </w:tc>
        <w:tc>
          <w:tcPr>
            <w:tcW w:w="2671" w:type="pct"/>
          </w:tcPr>
          <w:p w14:paraId="567AD500" w14:textId="77777777" w:rsidR="00CE4531" w:rsidRPr="00220635" w:rsidRDefault="00CE4531" w:rsidP="009306DE">
            <w:pPr>
              <w:pStyle w:val="ListParagraph"/>
            </w:pPr>
            <w:r w:rsidRPr="00220635">
              <w:t>Provide emergency contraception, if indicated (see Section: 7.4 Contraception, emergency).</w:t>
            </w:r>
          </w:p>
          <w:p w14:paraId="414A4E78" w14:textId="77777777" w:rsidR="00CE4531" w:rsidRPr="00220635" w:rsidRDefault="00CE4531" w:rsidP="009306DE">
            <w:pPr>
              <w:pStyle w:val="ListParagraph"/>
            </w:pPr>
            <w:r w:rsidRPr="00220635">
              <w:t>Administer the next injection.</w:t>
            </w:r>
          </w:p>
          <w:p w14:paraId="5AB139E5" w14:textId="1A612E28" w:rsidR="00CE4531" w:rsidRPr="00220635" w:rsidRDefault="00F57C49" w:rsidP="009306DE">
            <w:pPr>
              <w:pStyle w:val="ListParagraph"/>
            </w:pPr>
            <w:r>
              <w:t>Advise the woman to a</w:t>
            </w:r>
            <w:r w:rsidR="00CE4531" w:rsidRPr="00220635">
              <w:t>bstain from intercourse or use condoms to prevent pregnancy for the next 7 days.</w:t>
            </w:r>
          </w:p>
        </w:tc>
      </w:tr>
    </w:tbl>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CE4531" w:rsidRPr="00220635" w14:paraId="029743E8" w14:textId="77777777" w:rsidTr="009306DE">
        <w:tc>
          <w:tcPr>
            <w:tcW w:w="907" w:type="dxa"/>
            <w:shd w:val="clear" w:color="auto" w:fill="FFFFFF" w:themeFill="background1"/>
          </w:tcPr>
          <w:p w14:paraId="0DE76EED" w14:textId="40FB8C7F" w:rsidR="00CE4531" w:rsidRPr="00220635" w:rsidRDefault="00CE4531" w:rsidP="009306DE">
            <w:pPr>
              <w:pStyle w:val="LoEText"/>
              <w:framePr w:hSpace="0" w:wrap="auto" w:vAnchor="margin" w:hAnchor="text" w:xAlign="left" w:yAlign="inline"/>
              <w:suppressOverlap w:val="0"/>
            </w:pPr>
            <w:proofErr w:type="spellStart"/>
            <w:r w:rsidRPr="00220635">
              <w:t>LoE:I</w:t>
            </w:r>
            <w:r w:rsidR="00457199">
              <w:t>Vb</w:t>
            </w:r>
            <w:proofErr w:type="spellEnd"/>
            <w:r w:rsidRPr="00220635">
              <w:rPr>
                <w:rStyle w:val="EndnoteReference8"/>
              </w:rPr>
              <w:endnoteReference w:id="15"/>
            </w:r>
          </w:p>
        </w:tc>
      </w:tr>
    </w:tbl>
    <w:p w14:paraId="0014CB8A" w14:textId="77777777" w:rsidR="00CE4531" w:rsidRPr="00220635" w:rsidRDefault="00CE4531" w:rsidP="00CE4531">
      <w:pPr>
        <w:pStyle w:val="NoSpacing"/>
      </w:pPr>
    </w:p>
    <w:p w14:paraId="38D11FB6" w14:textId="77777777" w:rsidR="00CE4531" w:rsidRPr="00220635" w:rsidRDefault="00CE4531" w:rsidP="00CE4531">
      <w:pPr>
        <w:pStyle w:val="NoSpacing"/>
      </w:pPr>
      <w:r w:rsidRPr="00220635">
        <w:t>There is uncertainty of the risk of HIV acquisition associated with progestin injectable contraceptives (Refer to the WHO MEC 2017 guidelines</w:t>
      </w:r>
      <w:r w:rsidRPr="00220635">
        <w:rPr>
          <w:rStyle w:val="EndnoteReference8"/>
        </w:rPr>
        <w:endnoteReference w:id="16"/>
      </w:r>
      <w:r w:rsidRPr="00220635">
        <w:t>). Dual protection is recommended.</w:t>
      </w:r>
    </w:p>
    <w:p w14:paraId="49BA6AE5" w14:textId="77777777" w:rsidR="00CE4531" w:rsidRPr="00220635" w:rsidRDefault="00CE4531" w:rsidP="0035714F">
      <w:pPr>
        <w:pStyle w:val="Heading5"/>
      </w:pPr>
      <w:r w:rsidRPr="00220635">
        <w:t>REFERRAL</w:t>
      </w:r>
    </w:p>
    <w:p w14:paraId="0FA39DAC" w14:textId="77777777" w:rsidR="00CE4531" w:rsidRPr="00220635" w:rsidRDefault="00CE4531" w:rsidP="00CE4531">
      <w:pPr>
        <w:pStyle w:val="NoSpacing"/>
      </w:pPr>
      <w:r w:rsidRPr="00220635">
        <w:t>Heavy or prolonged bleeding, despite adequate treatment with combined oral contraceptives. See Section 7.6: Breakthrough bleeding with contraceptive use.</w:t>
      </w:r>
    </w:p>
    <w:p w14:paraId="12E49818" w14:textId="77777777" w:rsidR="00CE4531" w:rsidRPr="00220635" w:rsidRDefault="00161B0A" w:rsidP="00161B0A">
      <w:pPr>
        <w:pStyle w:val="Heading3"/>
      </w:pPr>
      <w:bookmarkStart w:id="8" w:name="_Toc66085697"/>
      <w:r w:rsidRPr="00220635">
        <w:t>Oral</w:t>
      </w:r>
      <w:bookmarkEnd w:id="8"/>
      <w:r w:rsidR="00E30FA8" w:rsidRPr="00220635">
        <w:fldChar w:fldCharType="begin"/>
      </w:r>
      <w:r w:rsidR="00E30FA8" w:rsidRPr="00220635">
        <w:instrText xml:space="preserve"> XE "Oral contraception" \f “c”</w:instrText>
      </w:r>
      <w:r w:rsidR="00E30FA8" w:rsidRPr="00220635">
        <w:fldChar w:fldCharType="end"/>
      </w:r>
      <w:r w:rsidRPr="00220635">
        <w:t xml:space="preserve"> </w:t>
      </w:r>
    </w:p>
    <w:p w14:paraId="66AB8491" w14:textId="77777777" w:rsidR="00CE4531" w:rsidRPr="00220635" w:rsidRDefault="00CE4531" w:rsidP="0035714F">
      <w:pPr>
        <w:pStyle w:val="ICD10"/>
      </w:pPr>
      <w:r w:rsidRPr="00220635">
        <w:t>Z30.0/Z30.4</w:t>
      </w:r>
    </w:p>
    <w:p w14:paraId="5D09A330" w14:textId="1A63D973" w:rsidR="00CE4531" w:rsidRPr="00220635" w:rsidRDefault="00CE4531" w:rsidP="0035714F">
      <w:r w:rsidRPr="00220635">
        <w:t xml:space="preserve">Dual contraception with barrier methods, are </w:t>
      </w:r>
      <w:r w:rsidR="00595B0C">
        <w:t xml:space="preserve">recommended </w:t>
      </w:r>
      <w:r w:rsidRPr="00220635">
        <w:t>to reduce the risk of STIs, including HIV.</w:t>
      </w:r>
    </w:p>
    <w:p w14:paraId="55C65395" w14:textId="77777777" w:rsidR="00CE4531" w:rsidRPr="00220635" w:rsidRDefault="00CE4531" w:rsidP="001F4BB1">
      <w:pPr>
        <w:pStyle w:val="Heading6"/>
      </w:pPr>
      <w:r w:rsidRPr="00220635">
        <w:t>Monophasic preparations:</w:t>
      </w:r>
    </w:p>
    <w:p w14:paraId="34817197" w14:textId="77777777" w:rsidR="00CE4531" w:rsidRPr="00220635" w:rsidRDefault="00CE4531" w:rsidP="001F4BB1">
      <w:pPr>
        <w:pStyle w:val="BulletTherapeuticclass"/>
      </w:pPr>
      <w:r w:rsidRPr="00220635">
        <w:t>Progestin only pills</w:t>
      </w:r>
      <w:r w:rsidR="00E30FA8" w:rsidRPr="00220635">
        <w:fldChar w:fldCharType="begin"/>
      </w:r>
      <w:r w:rsidR="00E30FA8" w:rsidRPr="00220635">
        <w:instrText xml:space="preserve"> XE "Monophasic: progestin only pills" \f "m" </w:instrText>
      </w:r>
      <w:r w:rsidR="00E30FA8" w:rsidRPr="00220635">
        <w:fldChar w:fldCharType="end"/>
      </w:r>
      <w:r w:rsidRPr="00220635">
        <w:t>, e.g.:</w:t>
      </w:r>
    </w:p>
    <w:tbl>
      <w:tblPr>
        <w:tblpPr w:leftFromText="180" w:rightFromText="180" w:vertAnchor="text" w:horzAnchor="margin" w:tblpXSpec="right" w:tblpYSpec="inside"/>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5A1DCC" w:rsidRPr="00220635" w14:paraId="55355DD3" w14:textId="77777777" w:rsidTr="005A1DCC">
        <w:tc>
          <w:tcPr>
            <w:tcW w:w="907" w:type="dxa"/>
            <w:shd w:val="clear" w:color="auto" w:fill="FFFFFF" w:themeFill="background1"/>
          </w:tcPr>
          <w:p w14:paraId="64EF8E5C" w14:textId="35DD1FAD" w:rsidR="005A1DCC" w:rsidRPr="00220635" w:rsidRDefault="005A1DCC" w:rsidP="005A1DCC">
            <w:pPr>
              <w:pStyle w:val="LoEText"/>
              <w:framePr w:hSpace="0" w:wrap="auto" w:vAnchor="margin" w:hAnchor="text" w:xAlign="left" w:yAlign="inline"/>
              <w:suppressOverlap w:val="0"/>
            </w:pPr>
            <w:proofErr w:type="spellStart"/>
            <w:r w:rsidRPr="00220635">
              <w:t>LoE:II</w:t>
            </w:r>
            <w:r w:rsidR="005E2C52">
              <w:t>Ia</w:t>
            </w:r>
            <w:proofErr w:type="spellEnd"/>
            <w:r w:rsidRPr="00220635">
              <w:rPr>
                <w:rStyle w:val="EndnoteReference8"/>
              </w:rPr>
              <w:endnoteReference w:id="17"/>
            </w:r>
          </w:p>
        </w:tc>
      </w:tr>
    </w:tbl>
    <w:p w14:paraId="7B5D51E6" w14:textId="69853774" w:rsidR="00CE4531" w:rsidRDefault="00CE4531" w:rsidP="007F4578">
      <w:pPr>
        <w:pStyle w:val="BulletMedicine"/>
      </w:pPr>
      <w:r w:rsidRPr="00220635">
        <w:t>Levonorgestrel</w:t>
      </w:r>
      <w:r w:rsidR="00E30FA8" w:rsidRPr="00220635">
        <w:fldChar w:fldCharType="begin"/>
      </w:r>
      <w:r w:rsidR="00E30FA8" w:rsidRPr="00220635">
        <w:instrText xml:space="preserve"> XE "Monophasic: levonorgestrel pill" \f "m" </w:instrText>
      </w:r>
      <w:r w:rsidR="00E30FA8" w:rsidRPr="00220635">
        <w:fldChar w:fldCharType="end"/>
      </w:r>
      <w:r w:rsidRPr="00220635">
        <w:t>, oral, 30</w:t>
      </w:r>
      <w:r w:rsidR="00606189">
        <w:t xml:space="preserve"> </w:t>
      </w:r>
      <w:r w:rsidRPr="00220635">
        <w:t>mcg daily.</w:t>
      </w:r>
    </w:p>
    <w:p w14:paraId="461BD41F" w14:textId="77777777" w:rsidR="00CE4531" w:rsidRPr="00220635" w:rsidRDefault="00CE4531" w:rsidP="001F4BB1">
      <w:pPr>
        <w:pStyle w:val="BulletTherapeuticclass"/>
      </w:pPr>
      <w:r w:rsidRPr="00220635">
        <w:t xml:space="preserve">Progestins and </w:t>
      </w:r>
      <w:proofErr w:type="spellStart"/>
      <w:r w:rsidRPr="00220635">
        <w:t>estrogen</w:t>
      </w:r>
      <w:proofErr w:type="spellEnd"/>
      <w:r w:rsidR="00E30FA8" w:rsidRPr="00220635">
        <w:fldChar w:fldCharType="begin"/>
      </w:r>
      <w:r w:rsidR="00E30FA8" w:rsidRPr="00220635">
        <w:instrText xml:space="preserve"> XE "Monophasic: combined progestins/estrogen pill" \f "m"</w:instrText>
      </w:r>
      <w:r w:rsidR="00E30FA8" w:rsidRPr="00220635">
        <w:fldChar w:fldCharType="end"/>
      </w:r>
      <w:r w:rsidRPr="00220635">
        <w:t>, fixed combinations, e.g.:</w:t>
      </w:r>
    </w:p>
    <w:p w14:paraId="34A594EF" w14:textId="77777777" w:rsidR="00CE4531" w:rsidRPr="00220635" w:rsidRDefault="00CE4531" w:rsidP="007F4578">
      <w:pPr>
        <w:pStyle w:val="BulletMedicine"/>
      </w:pPr>
      <w:proofErr w:type="spellStart"/>
      <w:r w:rsidRPr="00220635">
        <w:t>Ethinylestradiol</w:t>
      </w:r>
      <w:proofErr w:type="spellEnd"/>
      <w:r w:rsidRPr="00220635">
        <w:t>/ levonorgestrel, oral</w:t>
      </w:r>
      <w:r w:rsidR="00E30FA8" w:rsidRPr="00220635">
        <w:fldChar w:fldCharType="begin"/>
      </w:r>
      <w:r w:rsidR="00E30FA8" w:rsidRPr="00220635">
        <w:instrText xml:space="preserve"> XE "Monophasic: ethinylestradiol/ levonorgestrel, pill" \f "m"</w:instrText>
      </w:r>
      <w:r w:rsidR="00E30FA8" w:rsidRPr="00220635">
        <w:fldChar w:fldCharType="end"/>
      </w:r>
      <w:r w:rsidRPr="00220635">
        <w:t>, 30 mcg/150 mcg:</w:t>
      </w:r>
    </w:p>
    <w:p w14:paraId="4F4F6F56" w14:textId="77777777" w:rsidR="00CE4531" w:rsidRPr="00220635" w:rsidRDefault="00CE4531" w:rsidP="007F4578">
      <w:pPr>
        <w:pStyle w:val="BulletDirectionsInstructions"/>
      </w:pPr>
      <w:r w:rsidRPr="00220635">
        <w:t xml:space="preserve">21 tablets </w:t>
      </w:r>
      <w:proofErr w:type="spellStart"/>
      <w:r w:rsidRPr="00220635">
        <w:t>ethinylestradiol</w:t>
      </w:r>
      <w:proofErr w:type="spellEnd"/>
      <w:r w:rsidRPr="00220635">
        <w:t xml:space="preserve">/levonorgestrel, 30 mcg/150 mcg and </w:t>
      </w:r>
    </w:p>
    <w:tbl>
      <w:tblPr>
        <w:tblpPr w:leftFromText="180" w:rightFromText="180" w:vertAnchor="text" w:horzAnchor="margin" w:tblpXSpec="right" w:tblpY="4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5A1DCC" w:rsidRPr="00220635" w14:paraId="0335AB5F" w14:textId="77777777" w:rsidTr="005A1DCC">
        <w:tc>
          <w:tcPr>
            <w:tcW w:w="907" w:type="dxa"/>
            <w:shd w:val="clear" w:color="auto" w:fill="FFFFFF" w:themeFill="background1"/>
          </w:tcPr>
          <w:p w14:paraId="356F2044" w14:textId="54D75CC2" w:rsidR="005A1DCC" w:rsidRPr="00220635" w:rsidRDefault="005A1DCC" w:rsidP="005A1DCC">
            <w:pPr>
              <w:pStyle w:val="LoEText"/>
              <w:framePr w:hSpace="0" w:wrap="auto" w:vAnchor="margin" w:hAnchor="text" w:xAlign="left" w:yAlign="inline"/>
              <w:suppressOverlap w:val="0"/>
            </w:pPr>
            <w:proofErr w:type="spellStart"/>
            <w:r w:rsidRPr="00220635">
              <w:t>LoE:II</w:t>
            </w:r>
            <w:r w:rsidR="005E2C52">
              <w:t>Ia</w:t>
            </w:r>
            <w:proofErr w:type="spellEnd"/>
            <w:r w:rsidRPr="00220635">
              <w:rPr>
                <w:rStyle w:val="EndnoteReference8"/>
              </w:rPr>
              <w:endnoteReference w:id="18"/>
            </w:r>
          </w:p>
        </w:tc>
      </w:tr>
    </w:tbl>
    <w:p w14:paraId="3CFC06BF" w14:textId="77777777" w:rsidR="00CE4531" w:rsidRPr="00220635" w:rsidRDefault="00CE4531" w:rsidP="007F4578">
      <w:pPr>
        <w:pStyle w:val="BulletDirectionsInstructions"/>
      </w:pPr>
      <w:r w:rsidRPr="00220635">
        <w:t>7 tablets placebo.</w:t>
      </w:r>
    </w:p>
    <w:p w14:paraId="2B9B9FD0" w14:textId="77777777" w:rsidR="00CE4531" w:rsidRPr="00220635" w:rsidRDefault="00CE4531" w:rsidP="001F4BB1">
      <w:pPr>
        <w:pStyle w:val="Heading6"/>
      </w:pPr>
      <w:r w:rsidRPr="00220635">
        <w:t xml:space="preserve">Triphasic preparations: </w:t>
      </w:r>
    </w:p>
    <w:p w14:paraId="0C4EB18D" w14:textId="77777777" w:rsidR="00CE4531" w:rsidRPr="00220635" w:rsidRDefault="00CE4531" w:rsidP="001F4BB1">
      <w:pPr>
        <w:pStyle w:val="BulletTherapeuticclass"/>
      </w:pPr>
      <w:r w:rsidRPr="00220635">
        <w:t xml:space="preserve">Progestins and </w:t>
      </w:r>
      <w:proofErr w:type="spellStart"/>
      <w:r w:rsidRPr="00220635">
        <w:t>estrogen</w:t>
      </w:r>
      <w:proofErr w:type="spellEnd"/>
      <w:r w:rsidR="00E30FA8" w:rsidRPr="00220635">
        <w:fldChar w:fldCharType="begin"/>
      </w:r>
      <w:r w:rsidR="00E30FA8" w:rsidRPr="00220635">
        <w:instrText xml:space="preserve"> XE "Triphasic: combined progestin/estrogen pill" \f "m"</w:instrText>
      </w:r>
      <w:r w:rsidR="00E30FA8" w:rsidRPr="00220635">
        <w:fldChar w:fldCharType="end"/>
      </w:r>
      <w:r w:rsidRPr="00220635">
        <w:t>, sequential preparations, e.g.:</w:t>
      </w:r>
    </w:p>
    <w:p w14:paraId="41FE3089" w14:textId="77777777" w:rsidR="00CE4531" w:rsidRPr="00220635" w:rsidRDefault="00CE4531" w:rsidP="007F4578">
      <w:pPr>
        <w:pStyle w:val="BulletMedicine"/>
      </w:pPr>
      <w:proofErr w:type="spellStart"/>
      <w:r w:rsidRPr="00220635">
        <w:t>Ethinylestradiol</w:t>
      </w:r>
      <w:proofErr w:type="spellEnd"/>
      <w:r w:rsidRPr="00220635">
        <w:t>/levonorgestrel</w:t>
      </w:r>
      <w:r w:rsidR="00E30FA8" w:rsidRPr="00220635">
        <w:fldChar w:fldCharType="begin"/>
      </w:r>
      <w:r w:rsidR="00E30FA8" w:rsidRPr="00220635">
        <w:instrText xml:space="preserve"> XE "Triphasic: ethinylestradiol/levonorgestrel pill" \f "m"</w:instrText>
      </w:r>
      <w:r w:rsidR="00E30FA8" w:rsidRPr="00220635">
        <w:fldChar w:fldCharType="end"/>
      </w:r>
      <w:r w:rsidRPr="00220635">
        <w:t>, oral:</w:t>
      </w:r>
    </w:p>
    <w:p w14:paraId="4F98C818" w14:textId="32A7F449" w:rsidR="00CE4531" w:rsidRPr="00220635" w:rsidRDefault="00CE4531" w:rsidP="007F4578">
      <w:pPr>
        <w:pStyle w:val="BulletDirectionsInstructions"/>
      </w:pPr>
      <w:r w:rsidRPr="00220635">
        <w:t xml:space="preserve">6 tablets </w:t>
      </w:r>
      <w:proofErr w:type="spellStart"/>
      <w:r w:rsidRPr="00220635">
        <w:t>ethinylestradiol</w:t>
      </w:r>
      <w:proofErr w:type="spellEnd"/>
      <w:r w:rsidRPr="00220635">
        <w:t>/levonorgestrel,</w:t>
      </w:r>
      <w:r w:rsidR="002F0F78">
        <w:t xml:space="preserve"> </w:t>
      </w:r>
      <w:r w:rsidRPr="00220635">
        <w:t>30 mcg/50 mcg</w:t>
      </w:r>
    </w:p>
    <w:p w14:paraId="33410FC5" w14:textId="77777777" w:rsidR="00CE4531" w:rsidRPr="00220635" w:rsidRDefault="00CE4531" w:rsidP="007F4578">
      <w:pPr>
        <w:pStyle w:val="BulletDirectionsInstructions"/>
      </w:pPr>
      <w:r w:rsidRPr="00220635">
        <w:lastRenderedPageBreak/>
        <w:t xml:space="preserve">5 tablets </w:t>
      </w:r>
      <w:proofErr w:type="spellStart"/>
      <w:r w:rsidRPr="00220635">
        <w:t>ethinylestradiol</w:t>
      </w:r>
      <w:proofErr w:type="spellEnd"/>
      <w:r w:rsidRPr="00220635">
        <w:t>/levonorgestrel, 40 mcg/75 mcg and</w:t>
      </w:r>
    </w:p>
    <w:p w14:paraId="6206C43E" w14:textId="10EB6C57" w:rsidR="00CE4531" w:rsidRPr="00220635" w:rsidRDefault="00CE4531" w:rsidP="007F4578">
      <w:pPr>
        <w:pStyle w:val="BulletDirectionsInstructions"/>
      </w:pPr>
      <w:r w:rsidRPr="00220635">
        <w:t xml:space="preserve">10 tablets </w:t>
      </w:r>
      <w:proofErr w:type="spellStart"/>
      <w:r w:rsidRPr="00220635">
        <w:t>ethinylestradiol</w:t>
      </w:r>
      <w:proofErr w:type="spellEnd"/>
      <w:r w:rsidRPr="00220635">
        <w:t>/levonorgestrel,</w:t>
      </w:r>
      <w:r w:rsidR="002F0F78">
        <w:t xml:space="preserve"> </w:t>
      </w:r>
      <w:r w:rsidRPr="00220635">
        <w:t xml:space="preserve">30 mcg/125 mcg and </w:t>
      </w:r>
    </w:p>
    <w:tbl>
      <w:tblPr>
        <w:tblpPr w:leftFromText="180" w:rightFromText="180" w:vertAnchor="text" w:horzAnchor="margin" w:tblpXSpec="right" w:tblpY="5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5A1DCC" w:rsidRPr="00220635" w14:paraId="70225B31" w14:textId="77777777" w:rsidTr="005A1DCC">
        <w:tc>
          <w:tcPr>
            <w:tcW w:w="907" w:type="dxa"/>
            <w:shd w:val="clear" w:color="auto" w:fill="FFFFFF" w:themeFill="background1"/>
          </w:tcPr>
          <w:p w14:paraId="38A369E5" w14:textId="4B99A17C" w:rsidR="005A1DCC" w:rsidRPr="00220635" w:rsidRDefault="005A1DCC" w:rsidP="005A1DCC">
            <w:pPr>
              <w:pStyle w:val="LoEText"/>
              <w:framePr w:hSpace="0" w:wrap="auto" w:vAnchor="margin" w:hAnchor="text" w:xAlign="left" w:yAlign="inline"/>
              <w:suppressOverlap w:val="0"/>
            </w:pPr>
            <w:proofErr w:type="spellStart"/>
            <w:r w:rsidRPr="00220635">
              <w:t>LoE:II</w:t>
            </w:r>
            <w:r w:rsidR="005E2C52">
              <w:t>Ia</w:t>
            </w:r>
            <w:proofErr w:type="spellEnd"/>
            <w:r w:rsidRPr="00220635">
              <w:rPr>
                <w:rStyle w:val="EndnoteReference8"/>
              </w:rPr>
              <w:endnoteReference w:id="19"/>
            </w:r>
          </w:p>
        </w:tc>
      </w:tr>
    </w:tbl>
    <w:p w14:paraId="7111614E" w14:textId="77777777" w:rsidR="00CE4531" w:rsidRPr="00220635" w:rsidRDefault="00CE4531" w:rsidP="007F4578">
      <w:pPr>
        <w:pStyle w:val="BulletDirectionsInstructions"/>
      </w:pPr>
      <w:r w:rsidRPr="00220635">
        <w:t>7 tablets placebo.</w:t>
      </w:r>
    </w:p>
    <w:p w14:paraId="42CEECF0" w14:textId="535AAC7C" w:rsidR="00CE4531" w:rsidRPr="00220635" w:rsidRDefault="00FC7880" w:rsidP="002F7CD0">
      <w:pPr>
        <w:pStyle w:val="Heading7"/>
      </w:pPr>
      <w:r>
        <w:t>C</w:t>
      </w:r>
      <w:r w:rsidR="00CE4531" w:rsidRPr="00220635">
        <w:t>ounselling:</w:t>
      </w:r>
    </w:p>
    <w:p w14:paraId="176499EB" w14:textId="77777777" w:rsidR="00CE4531" w:rsidRPr="00220635" w:rsidRDefault="00CE4531" w:rsidP="002F7CD0">
      <w:pPr>
        <w:pStyle w:val="ListParagraph"/>
      </w:pPr>
      <w:r w:rsidRPr="00220635">
        <w:t xml:space="preserve">Hormonal oral pills must be taken at the same time every day without interruption. </w:t>
      </w:r>
    </w:p>
    <w:p w14:paraId="097180F9" w14:textId="77777777" w:rsidR="00CE4531" w:rsidRPr="00220635" w:rsidRDefault="00CE4531" w:rsidP="002F7CD0">
      <w:pPr>
        <w:pStyle w:val="ListParagraph"/>
      </w:pPr>
      <w:r w:rsidRPr="00220635">
        <w:t xml:space="preserve">Taking the hormonal oral pill with food or at bedtime may alleviate nausea. </w:t>
      </w:r>
    </w:p>
    <w:p w14:paraId="626D9790" w14:textId="59961B8E" w:rsidR="00CE4531" w:rsidRPr="00220635" w:rsidRDefault="00CE4531" w:rsidP="002F7CD0">
      <w:pPr>
        <w:pStyle w:val="ListParagraph"/>
      </w:pPr>
      <w:r w:rsidRPr="00220635">
        <w:t xml:space="preserve">If the </w:t>
      </w:r>
      <w:r w:rsidR="005174F0">
        <w:t>woman</w:t>
      </w:r>
      <w:r w:rsidRPr="00220635">
        <w:t xml:space="preserve"> is not using dual contraception with </w:t>
      </w:r>
      <w:r w:rsidR="00C2797C">
        <w:t>barrier</w:t>
      </w:r>
      <w:r w:rsidR="0020512E">
        <w:t xml:space="preserve"> methods</w:t>
      </w:r>
      <w:r w:rsidRPr="00220635">
        <w:t xml:space="preserve"> and vomits within 2 </w:t>
      </w:r>
      <w:proofErr w:type="gramStart"/>
      <w:r w:rsidRPr="00220635">
        <w:t>hours, or</w:t>
      </w:r>
      <w:proofErr w:type="gramEnd"/>
      <w:r w:rsidRPr="00220635">
        <w:t xml:space="preserve"> has severe diarrhoea within 12 hours of taking the hormonal oral pill, repeat the dose as soon as possible. Recommend condom use.</w:t>
      </w:r>
    </w:p>
    <w:p w14:paraId="215C579D" w14:textId="38156CBA" w:rsidR="00CE4531" w:rsidRPr="00220635" w:rsidRDefault="00CE4531" w:rsidP="002F7CD0">
      <w:pPr>
        <w:pStyle w:val="ListParagraph"/>
      </w:pPr>
      <w:r w:rsidRPr="00220635">
        <w:t xml:space="preserve">Women who have persistent vomiting or severe diarrhoea resulting in two or more missed pills </w:t>
      </w:r>
      <w:r w:rsidR="0020512E">
        <w:t xml:space="preserve">must </w:t>
      </w:r>
      <w:r w:rsidRPr="00220635">
        <w:t>follow instructions for missed pills</w:t>
      </w:r>
      <w:r w:rsidR="007E2134">
        <w:t xml:space="preserve"> - s</w:t>
      </w:r>
      <w:r w:rsidRPr="00220635">
        <w:t>ee section 7.2.4</w:t>
      </w:r>
      <w:r w:rsidR="007E2134">
        <w:t>.</w:t>
      </w:r>
      <w:r w:rsidRPr="00220635">
        <w:t xml:space="preserve"> Recommend </w:t>
      </w:r>
      <w:r w:rsidR="00B421C0">
        <w:t>condom use</w:t>
      </w:r>
      <w:r w:rsidRPr="00220635">
        <w:t>.</w:t>
      </w:r>
    </w:p>
    <w:p w14:paraId="6E99F5E1" w14:textId="207428D3" w:rsidR="00CE4531" w:rsidRPr="00220635" w:rsidRDefault="00CE4531" w:rsidP="002F7CD0">
      <w:pPr>
        <w:pStyle w:val="Heading6"/>
      </w:pPr>
      <w:r w:rsidRPr="00220635">
        <w:t>Contraindications and guidance to starting the</w:t>
      </w:r>
      <w:r w:rsidR="00F90098">
        <w:t xml:space="preserve"> hormonal</w:t>
      </w:r>
      <w:r w:rsidRPr="00220635">
        <w:t xml:space="preserve"> oral pill</w:t>
      </w:r>
    </w:p>
    <w:tbl>
      <w:tblPr>
        <w:tblStyle w:val="SamplePHCTable"/>
        <w:tblW w:w="5000" w:type="pct"/>
        <w:tblLook w:val="04A0" w:firstRow="1" w:lastRow="0" w:firstColumn="1" w:lastColumn="0" w:noHBand="0" w:noVBand="1"/>
      </w:tblPr>
      <w:tblGrid>
        <w:gridCol w:w="988"/>
        <w:gridCol w:w="2835"/>
        <w:gridCol w:w="2856"/>
      </w:tblGrid>
      <w:tr w:rsidR="009458B5" w:rsidRPr="00220635" w14:paraId="16AB96D6" w14:textId="77777777" w:rsidTr="009458B5">
        <w:trPr>
          <w:cnfStyle w:val="100000000000" w:firstRow="1" w:lastRow="0" w:firstColumn="0" w:lastColumn="0" w:oddVBand="0" w:evenVBand="0" w:oddHBand="0" w:evenHBand="0" w:firstRowFirstColumn="0" w:firstRowLastColumn="0" w:lastRowFirstColumn="0" w:lastRowLastColumn="0"/>
        </w:trPr>
        <w:tc>
          <w:tcPr>
            <w:tcW w:w="740" w:type="pct"/>
          </w:tcPr>
          <w:p w14:paraId="237A9C65" w14:textId="77777777" w:rsidR="00CE4531" w:rsidRPr="00220635" w:rsidRDefault="00CE4531" w:rsidP="00F70525">
            <w:pPr>
              <w:pStyle w:val="NoSpacing"/>
            </w:pPr>
          </w:p>
        </w:tc>
        <w:tc>
          <w:tcPr>
            <w:tcW w:w="2122" w:type="pct"/>
          </w:tcPr>
          <w:p w14:paraId="31CE98A6" w14:textId="77777777" w:rsidR="00CE4531" w:rsidRPr="00220635" w:rsidRDefault="00CE4531" w:rsidP="00F70525">
            <w:pPr>
              <w:pStyle w:val="NoSpacing"/>
            </w:pPr>
            <w:r w:rsidRPr="00220635">
              <w:t>Progestin only</w:t>
            </w:r>
          </w:p>
        </w:tc>
        <w:tc>
          <w:tcPr>
            <w:tcW w:w="2138" w:type="pct"/>
          </w:tcPr>
          <w:p w14:paraId="5DC2D67E" w14:textId="77777777" w:rsidR="00CE4531" w:rsidRPr="00220635" w:rsidRDefault="00CE4531" w:rsidP="00F70525">
            <w:pPr>
              <w:pStyle w:val="NoSpacing"/>
            </w:pPr>
            <w:r w:rsidRPr="00220635">
              <w:t xml:space="preserve">Combined </w:t>
            </w:r>
            <w:proofErr w:type="spellStart"/>
            <w:r w:rsidRPr="00220635">
              <w:t>estrogen</w:t>
            </w:r>
            <w:proofErr w:type="spellEnd"/>
            <w:r w:rsidRPr="00220635">
              <w:t xml:space="preserve">/progestin </w:t>
            </w:r>
          </w:p>
        </w:tc>
      </w:tr>
      <w:tr w:rsidR="00CE4531" w:rsidRPr="00220635" w14:paraId="23EFFD26" w14:textId="77777777" w:rsidTr="009458B5">
        <w:tc>
          <w:tcPr>
            <w:tcW w:w="740" w:type="pct"/>
          </w:tcPr>
          <w:p w14:paraId="4FC65B45" w14:textId="77777777" w:rsidR="00CE4531" w:rsidRPr="00220635" w:rsidRDefault="00CE4531" w:rsidP="00F70525">
            <w:pPr>
              <w:pStyle w:val="NoSpacing"/>
            </w:pPr>
            <w:r w:rsidRPr="00220635">
              <w:t>Contra</w:t>
            </w:r>
            <w:r w:rsidR="009458B5" w:rsidRPr="00220635">
              <w:t>-</w:t>
            </w:r>
            <w:r w:rsidRPr="00220635">
              <w:t>indications</w:t>
            </w:r>
          </w:p>
        </w:tc>
        <w:tc>
          <w:tcPr>
            <w:tcW w:w="2122" w:type="pct"/>
          </w:tcPr>
          <w:p w14:paraId="07A84381" w14:textId="77777777" w:rsidR="00CE4531" w:rsidRPr="00220635" w:rsidRDefault="00CE4531" w:rsidP="00F70525">
            <w:pPr>
              <w:pStyle w:val="NoSpacing"/>
            </w:pPr>
            <w:r w:rsidRPr="00220635">
              <w:t>Progestin only preparations are contraindicated in certain conditions (Consult the package insert in this regard).</w:t>
            </w:r>
          </w:p>
          <w:p w14:paraId="5D3272BE" w14:textId="77777777" w:rsidR="00CE4531" w:rsidRPr="00220635" w:rsidRDefault="00CE4531" w:rsidP="00F70525">
            <w:pPr>
              <w:pStyle w:val="NoSpacing"/>
            </w:pPr>
            <w:r w:rsidRPr="00220635">
              <w:t>Contraindications include:</w:t>
            </w:r>
          </w:p>
          <w:p w14:paraId="7368DCC7" w14:textId="77777777" w:rsidR="00CE4531" w:rsidRPr="00220635" w:rsidRDefault="00CE4531" w:rsidP="00A40FEF">
            <w:pPr>
              <w:pStyle w:val="ListParagraph"/>
            </w:pPr>
            <w:r w:rsidRPr="00220635">
              <w:t>Abnormal uterine bleeding of unknown cause.</w:t>
            </w:r>
          </w:p>
          <w:p w14:paraId="18EAC4DE" w14:textId="77777777" w:rsidR="00CE4531" w:rsidRPr="00220635" w:rsidRDefault="00CE4531" w:rsidP="00A40FEF">
            <w:pPr>
              <w:pStyle w:val="ListParagraph"/>
            </w:pPr>
            <w:r w:rsidRPr="00220635">
              <w:t>Myocardial infarction/stroke.</w:t>
            </w:r>
          </w:p>
          <w:p w14:paraId="018F34D2" w14:textId="77777777" w:rsidR="00CE4531" w:rsidRPr="00220635" w:rsidRDefault="00CE4531" w:rsidP="00A40FEF">
            <w:pPr>
              <w:pStyle w:val="ListParagraph"/>
            </w:pPr>
            <w:r w:rsidRPr="00220635">
              <w:t>Liver disease.</w:t>
            </w:r>
          </w:p>
          <w:p w14:paraId="6DEA0A4B" w14:textId="77777777" w:rsidR="00CE4531" w:rsidRPr="00220635" w:rsidRDefault="00CE4531" w:rsidP="00A40FEF">
            <w:pPr>
              <w:pStyle w:val="ListParagraph"/>
            </w:pPr>
            <w:r w:rsidRPr="00220635">
              <w:t>Cancer of the breast/ genital tract.</w:t>
            </w:r>
          </w:p>
          <w:p w14:paraId="4699CD51" w14:textId="77777777" w:rsidR="00CE4531" w:rsidRPr="00220635" w:rsidRDefault="00CE4531" w:rsidP="00A40FEF">
            <w:pPr>
              <w:pStyle w:val="ListParagraph"/>
            </w:pPr>
            <w:r w:rsidRPr="00220635">
              <w:t>Known or suspected pregnancy.</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869"/>
            </w:tblGrid>
            <w:tr w:rsidR="00CE4531" w:rsidRPr="00220635" w14:paraId="17975795" w14:textId="77777777" w:rsidTr="00F70525">
              <w:tc>
                <w:tcPr>
                  <w:tcW w:w="723" w:type="dxa"/>
                  <w:shd w:val="clear" w:color="auto" w:fill="FFFFFF" w:themeFill="background1"/>
                </w:tcPr>
                <w:p w14:paraId="15667B5D" w14:textId="5BD63BF0" w:rsidR="00CE4531" w:rsidRPr="00220635" w:rsidRDefault="00CE4531" w:rsidP="00353B14">
                  <w:pPr>
                    <w:pStyle w:val="LoEText"/>
                    <w:framePr w:hSpace="0" w:wrap="auto" w:vAnchor="margin" w:hAnchor="text" w:xAlign="left" w:yAlign="inline"/>
                    <w:suppressOverlap w:val="0"/>
                  </w:pPr>
                  <w:proofErr w:type="spellStart"/>
                  <w:r w:rsidRPr="00220635">
                    <w:t>LoE:I</w:t>
                  </w:r>
                  <w:r w:rsidR="00A93875">
                    <w:t>Vb</w:t>
                  </w:r>
                  <w:proofErr w:type="spellEnd"/>
                  <w:r w:rsidRPr="00220635">
                    <w:rPr>
                      <w:rStyle w:val="EndnoteReference8"/>
                    </w:rPr>
                    <w:endnoteReference w:id="20"/>
                  </w:r>
                </w:p>
              </w:tc>
            </w:tr>
          </w:tbl>
          <w:p w14:paraId="2407BCD5" w14:textId="77777777" w:rsidR="00CE4531" w:rsidRPr="00220635" w:rsidRDefault="00CE4531" w:rsidP="00F70525">
            <w:pPr>
              <w:pStyle w:val="NoSpacing"/>
            </w:pPr>
          </w:p>
        </w:tc>
        <w:tc>
          <w:tcPr>
            <w:tcW w:w="2138" w:type="pct"/>
          </w:tcPr>
          <w:p w14:paraId="57E3F8B7" w14:textId="77777777" w:rsidR="00CE4531" w:rsidRPr="00220635" w:rsidRDefault="00CE4531" w:rsidP="00F70525">
            <w:pPr>
              <w:pStyle w:val="NoSpacing"/>
            </w:pPr>
            <w:r w:rsidRPr="00220635">
              <w:t xml:space="preserve">Combination preparations contraindicated in certain conditions (Consult the package insert in this regard). </w:t>
            </w:r>
          </w:p>
          <w:p w14:paraId="5FC96D4E" w14:textId="77777777" w:rsidR="00CE4531" w:rsidRPr="00220635" w:rsidRDefault="00CE4531" w:rsidP="00F70525">
            <w:pPr>
              <w:pStyle w:val="NoSpacing"/>
            </w:pPr>
            <w:r w:rsidRPr="00220635">
              <w:t>Contraindications include:</w:t>
            </w:r>
          </w:p>
          <w:p w14:paraId="4D732798" w14:textId="22DF683B" w:rsidR="00CE4531" w:rsidRPr="00220635" w:rsidRDefault="00CE4531" w:rsidP="00A40FEF">
            <w:pPr>
              <w:pStyle w:val="ListParagraph"/>
            </w:pPr>
            <w:r w:rsidRPr="00220635">
              <w:t>Women &gt;35 years of age who smoke ≥15 cigarettes a day or have risk factors for cardiovascular disease:</w:t>
            </w:r>
          </w:p>
          <w:p w14:paraId="55C2DF63" w14:textId="77777777" w:rsidR="00CE4531" w:rsidRPr="00220635" w:rsidRDefault="00CE4531" w:rsidP="00A40FEF">
            <w:pPr>
              <w:pStyle w:val="ListParagraph"/>
              <w:numPr>
                <w:ilvl w:val="1"/>
                <w:numId w:val="4"/>
              </w:numPr>
            </w:pPr>
            <w:r w:rsidRPr="00220635">
              <w:t>heart disease</w:t>
            </w:r>
          </w:p>
          <w:p w14:paraId="3000CBC2" w14:textId="77777777" w:rsidR="00CE4531" w:rsidRPr="00220635" w:rsidRDefault="00CE4531" w:rsidP="00A40FEF">
            <w:pPr>
              <w:pStyle w:val="ListParagraph"/>
              <w:numPr>
                <w:ilvl w:val="1"/>
                <w:numId w:val="4"/>
              </w:numPr>
            </w:pPr>
            <w:r w:rsidRPr="00220635">
              <w:t>liver disease</w:t>
            </w:r>
          </w:p>
          <w:p w14:paraId="29958F72" w14:textId="77777777" w:rsidR="00CE4531" w:rsidRPr="00220635" w:rsidRDefault="00CE4531" w:rsidP="00A40FEF">
            <w:pPr>
              <w:pStyle w:val="ListParagraph"/>
              <w:numPr>
                <w:ilvl w:val="1"/>
                <w:numId w:val="4"/>
              </w:numPr>
            </w:pPr>
            <w:r w:rsidRPr="00220635">
              <w:t>thromboembolism</w:t>
            </w:r>
          </w:p>
          <w:p w14:paraId="69ACC434" w14:textId="77777777" w:rsidR="00CE4531" w:rsidRPr="00220635" w:rsidRDefault="00CE4531" w:rsidP="00A40FEF">
            <w:pPr>
              <w:pStyle w:val="ListParagraph"/>
              <w:numPr>
                <w:ilvl w:val="1"/>
                <w:numId w:val="4"/>
              </w:numPr>
            </w:pPr>
            <w:r w:rsidRPr="00220635">
              <w:t>certain cancers</w:t>
            </w:r>
          </w:p>
        </w:tc>
      </w:tr>
      <w:tr w:rsidR="00CE4531" w:rsidRPr="00220635" w14:paraId="01CDF2A9" w14:textId="77777777" w:rsidTr="009458B5">
        <w:tc>
          <w:tcPr>
            <w:tcW w:w="740" w:type="pct"/>
          </w:tcPr>
          <w:p w14:paraId="48CF50C1" w14:textId="77777777" w:rsidR="00CE4531" w:rsidRPr="00220635" w:rsidRDefault="00CE4531" w:rsidP="00096C80">
            <w:pPr>
              <w:pStyle w:val="NoSpacing"/>
            </w:pPr>
            <w:r w:rsidRPr="00220635">
              <w:t>When to start the pill</w:t>
            </w:r>
          </w:p>
        </w:tc>
        <w:tc>
          <w:tcPr>
            <w:tcW w:w="4260" w:type="pct"/>
            <w:gridSpan w:val="2"/>
          </w:tcPr>
          <w:p w14:paraId="63CFFE16" w14:textId="6AE3D784" w:rsidR="00542C62" w:rsidRDefault="00542C62" w:rsidP="00353B14">
            <w:pPr>
              <w:pStyle w:val="ListParagraph"/>
            </w:pPr>
            <w:r>
              <w:t>Exclude pregnancy.</w:t>
            </w:r>
          </w:p>
          <w:p w14:paraId="5459CD8F" w14:textId="018198CF" w:rsidR="00CE4531" w:rsidRPr="00220635" w:rsidRDefault="00CE4531" w:rsidP="00353B14">
            <w:pPr>
              <w:pStyle w:val="ListParagraph"/>
            </w:pPr>
            <w:r w:rsidRPr="00220635">
              <w:t>Start anytime within the menstrual cycle, but it is advisable to start during menses.</w:t>
            </w:r>
          </w:p>
          <w:p w14:paraId="142FD1CD" w14:textId="77777777" w:rsidR="00CE4531" w:rsidRPr="00220635" w:rsidRDefault="00CE4531" w:rsidP="00353B14">
            <w:pPr>
              <w:pStyle w:val="ListParagraph"/>
            </w:pPr>
            <w:r w:rsidRPr="00220635">
              <w:t>If the first pill is given between days 1 and 5 of the menstrual cycle the contraceptive effect is achieved immediately.</w:t>
            </w:r>
          </w:p>
          <w:p w14:paraId="099059B4" w14:textId="5DDC23D6" w:rsidR="00CE4531" w:rsidRPr="00220635" w:rsidRDefault="00542C62" w:rsidP="00353B14">
            <w:pPr>
              <w:pStyle w:val="ListParagraph"/>
            </w:pPr>
            <w:r>
              <w:t>If the pill is started at any other time, it needs to be taken for at least 7 days before it protects against pregnancy.</w:t>
            </w:r>
          </w:p>
        </w:tc>
      </w:tr>
    </w:tbl>
    <w:p w14:paraId="54E2ED93" w14:textId="77777777" w:rsidR="00CE4531" w:rsidRPr="00220635" w:rsidRDefault="00CE4531" w:rsidP="009458B5">
      <w:pPr>
        <w:pStyle w:val="Heading6"/>
      </w:pPr>
      <w:r w:rsidRPr="00220635">
        <w:t xml:space="preserve">Medicine interactions </w:t>
      </w:r>
    </w:p>
    <w:tbl>
      <w:tblPr>
        <w:tblStyle w:val="SamplePHCTable"/>
        <w:tblW w:w="5000" w:type="pct"/>
        <w:tblLook w:val="04A0" w:firstRow="1" w:lastRow="0" w:firstColumn="1" w:lastColumn="0" w:noHBand="0" w:noVBand="1"/>
      </w:tblPr>
      <w:tblGrid>
        <w:gridCol w:w="1847"/>
        <w:gridCol w:w="3329"/>
        <w:gridCol w:w="1503"/>
      </w:tblGrid>
      <w:tr w:rsidR="00CE4531" w:rsidRPr="00220635" w14:paraId="38EBD755" w14:textId="77777777" w:rsidTr="00B62B39">
        <w:trPr>
          <w:cnfStyle w:val="100000000000" w:firstRow="1" w:lastRow="0" w:firstColumn="0" w:lastColumn="0" w:oddVBand="0" w:evenVBand="0" w:oddHBand="0" w:evenHBand="0" w:firstRowFirstColumn="0" w:firstRowLastColumn="0" w:lastRowFirstColumn="0" w:lastRowLastColumn="0"/>
        </w:trPr>
        <w:tc>
          <w:tcPr>
            <w:tcW w:w="3923" w:type="pct"/>
            <w:gridSpan w:val="2"/>
          </w:tcPr>
          <w:p w14:paraId="20C0F261" w14:textId="77777777" w:rsidR="00CE4531" w:rsidRPr="00220635" w:rsidRDefault="00CE4531" w:rsidP="00B62B39">
            <w:pPr>
              <w:pStyle w:val="NoSpacing"/>
              <w:jc w:val="center"/>
            </w:pPr>
            <w:r w:rsidRPr="00220635">
              <w:t>Enzyme-inducing medicines interacting with oral contraceptives</w:t>
            </w:r>
          </w:p>
        </w:tc>
        <w:tc>
          <w:tcPr>
            <w:tcW w:w="1077" w:type="pct"/>
          </w:tcPr>
          <w:p w14:paraId="251F32C8" w14:textId="77777777" w:rsidR="00CE4531" w:rsidRPr="00220635" w:rsidRDefault="00CE4531" w:rsidP="00B62B39">
            <w:pPr>
              <w:pStyle w:val="NoSpacing"/>
              <w:jc w:val="center"/>
            </w:pPr>
            <w:r w:rsidRPr="00220635">
              <w:t>Recommendation</w:t>
            </w:r>
          </w:p>
        </w:tc>
      </w:tr>
      <w:tr w:rsidR="00CE4531" w:rsidRPr="00220635" w14:paraId="6B53445B" w14:textId="77777777" w:rsidTr="00B62B39">
        <w:trPr>
          <w:trHeight w:val="65"/>
        </w:trPr>
        <w:tc>
          <w:tcPr>
            <w:tcW w:w="1407" w:type="pct"/>
          </w:tcPr>
          <w:p w14:paraId="4AB0A5F4" w14:textId="77777777" w:rsidR="00CE4531" w:rsidRPr="00220635" w:rsidRDefault="00CE4531" w:rsidP="00F70525">
            <w:pPr>
              <w:pStyle w:val="NoSpacing"/>
              <w:rPr>
                <w:rStyle w:val="Strong"/>
              </w:rPr>
            </w:pPr>
            <w:r w:rsidRPr="00220635">
              <w:rPr>
                <w:rStyle w:val="Strong"/>
              </w:rPr>
              <w:t>Therapeutic class</w:t>
            </w:r>
          </w:p>
        </w:tc>
        <w:tc>
          <w:tcPr>
            <w:tcW w:w="2516" w:type="pct"/>
          </w:tcPr>
          <w:p w14:paraId="75DB65D1" w14:textId="77777777" w:rsidR="00CE4531" w:rsidRPr="00220635" w:rsidRDefault="00CE4531" w:rsidP="00F70525">
            <w:pPr>
              <w:pStyle w:val="NoSpacing"/>
              <w:rPr>
                <w:rStyle w:val="Strong"/>
              </w:rPr>
            </w:pPr>
            <w:r w:rsidRPr="00220635">
              <w:rPr>
                <w:rStyle w:val="Strong"/>
              </w:rPr>
              <w:t>Examples</w:t>
            </w:r>
          </w:p>
        </w:tc>
        <w:tc>
          <w:tcPr>
            <w:tcW w:w="1077" w:type="pct"/>
          </w:tcPr>
          <w:p w14:paraId="7CDDFD81" w14:textId="77777777" w:rsidR="00CE4531" w:rsidRPr="00220635" w:rsidRDefault="00CE4531" w:rsidP="00F70525">
            <w:pPr>
              <w:pStyle w:val="NoSpacing"/>
            </w:pPr>
          </w:p>
        </w:tc>
      </w:tr>
      <w:tr w:rsidR="00CE4531" w:rsidRPr="00220635" w14:paraId="3E3F1689" w14:textId="77777777" w:rsidTr="00B62B39">
        <w:tc>
          <w:tcPr>
            <w:tcW w:w="1407" w:type="pct"/>
          </w:tcPr>
          <w:p w14:paraId="7472590E" w14:textId="77777777" w:rsidR="00CE4531" w:rsidRPr="00220635" w:rsidRDefault="00CE4531" w:rsidP="00F70525">
            <w:pPr>
              <w:pStyle w:val="NoSpacing"/>
            </w:pPr>
            <w:r w:rsidRPr="00220635">
              <w:t>Anti-tuberculosis</w:t>
            </w:r>
          </w:p>
        </w:tc>
        <w:tc>
          <w:tcPr>
            <w:tcW w:w="2516" w:type="pct"/>
          </w:tcPr>
          <w:p w14:paraId="61CF73FB" w14:textId="77777777" w:rsidR="00CE4531" w:rsidRPr="00220635" w:rsidRDefault="00CE4531" w:rsidP="00F70525">
            <w:pPr>
              <w:pStyle w:val="NoSpacing"/>
            </w:pPr>
            <w:r w:rsidRPr="00220635">
              <w:t xml:space="preserve">Rifampicin </w:t>
            </w:r>
          </w:p>
        </w:tc>
        <w:tc>
          <w:tcPr>
            <w:tcW w:w="1077" w:type="pct"/>
            <w:vMerge w:val="restart"/>
          </w:tcPr>
          <w:p w14:paraId="6EA154CC" w14:textId="28374AA0" w:rsidR="00CE4531" w:rsidRPr="00220635" w:rsidRDefault="00CE4531" w:rsidP="00F70525">
            <w:pPr>
              <w:pStyle w:val="NoSpacing"/>
            </w:pPr>
            <w:r w:rsidRPr="00220635">
              <w:t xml:space="preserve">Use </w:t>
            </w:r>
            <w:r w:rsidR="00BE53B0" w:rsidRPr="00220635">
              <w:t xml:space="preserve">copper </w:t>
            </w:r>
            <w:r w:rsidRPr="00220635">
              <w:t>IUCD or alternatively use dual contraception e.g. condoms in combination with COCs.</w:t>
            </w:r>
          </w:p>
        </w:tc>
      </w:tr>
      <w:tr w:rsidR="00CE4531" w:rsidRPr="00220635" w14:paraId="604ADC85" w14:textId="77777777" w:rsidTr="00B62B39">
        <w:tc>
          <w:tcPr>
            <w:tcW w:w="1407" w:type="pct"/>
            <w:vMerge w:val="restart"/>
          </w:tcPr>
          <w:p w14:paraId="15506C80" w14:textId="77777777" w:rsidR="00CE4531" w:rsidRPr="00220635" w:rsidRDefault="00CE4531" w:rsidP="00F70525">
            <w:pPr>
              <w:pStyle w:val="NoSpacing"/>
            </w:pPr>
            <w:r w:rsidRPr="00220635">
              <w:t>Anti-epileptics</w:t>
            </w:r>
          </w:p>
        </w:tc>
        <w:tc>
          <w:tcPr>
            <w:tcW w:w="2516" w:type="pct"/>
          </w:tcPr>
          <w:p w14:paraId="495F1F19" w14:textId="77777777" w:rsidR="00CE4531" w:rsidRPr="00220635" w:rsidRDefault="00CE4531" w:rsidP="00F70525">
            <w:pPr>
              <w:pStyle w:val="NoSpacing"/>
            </w:pPr>
            <w:r w:rsidRPr="00220635">
              <w:t>Phenobarbital</w:t>
            </w:r>
          </w:p>
        </w:tc>
        <w:tc>
          <w:tcPr>
            <w:tcW w:w="1077" w:type="pct"/>
            <w:vMerge/>
          </w:tcPr>
          <w:p w14:paraId="6138EF8D" w14:textId="77777777" w:rsidR="00CE4531" w:rsidRPr="00220635" w:rsidRDefault="00CE4531" w:rsidP="00F70525">
            <w:pPr>
              <w:pStyle w:val="NoSpacing"/>
            </w:pPr>
          </w:p>
        </w:tc>
      </w:tr>
      <w:tr w:rsidR="00CE4531" w:rsidRPr="00220635" w14:paraId="1F9157FB" w14:textId="77777777" w:rsidTr="00B62B39">
        <w:tc>
          <w:tcPr>
            <w:tcW w:w="1407" w:type="pct"/>
            <w:vMerge/>
          </w:tcPr>
          <w:p w14:paraId="32FAD487" w14:textId="77777777" w:rsidR="00CE4531" w:rsidRPr="00220635" w:rsidRDefault="00CE4531" w:rsidP="00F70525">
            <w:pPr>
              <w:pStyle w:val="NoSpacing"/>
            </w:pPr>
          </w:p>
        </w:tc>
        <w:tc>
          <w:tcPr>
            <w:tcW w:w="2516" w:type="pct"/>
          </w:tcPr>
          <w:p w14:paraId="5BB7FC55" w14:textId="77777777" w:rsidR="00CE4531" w:rsidRPr="00220635" w:rsidRDefault="00CE4531" w:rsidP="00F70525">
            <w:pPr>
              <w:pStyle w:val="NoSpacing"/>
            </w:pPr>
            <w:r w:rsidRPr="00220635">
              <w:t>Phenytoin</w:t>
            </w:r>
          </w:p>
        </w:tc>
        <w:tc>
          <w:tcPr>
            <w:tcW w:w="1077" w:type="pct"/>
            <w:vMerge/>
          </w:tcPr>
          <w:p w14:paraId="3C58390C" w14:textId="77777777" w:rsidR="00CE4531" w:rsidRPr="00220635" w:rsidRDefault="00CE4531" w:rsidP="00F70525">
            <w:pPr>
              <w:pStyle w:val="NoSpacing"/>
            </w:pPr>
          </w:p>
        </w:tc>
      </w:tr>
      <w:tr w:rsidR="00CE4531" w:rsidRPr="00220635" w14:paraId="0C8D1B8C" w14:textId="77777777" w:rsidTr="00B62B39">
        <w:tc>
          <w:tcPr>
            <w:tcW w:w="1407" w:type="pct"/>
            <w:vMerge/>
          </w:tcPr>
          <w:p w14:paraId="25E8EAC3" w14:textId="77777777" w:rsidR="00CE4531" w:rsidRPr="00220635" w:rsidRDefault="00CE4531" w:rsidP="00F70525">
            <w:pPr>
              <w:pStyle w:val="NoSpacing"/>
            </w:pPr>
          </w:p>
        </w:tc>
        <w:tc>
          <w:tcPr>
            <w:tcW w:w="2516" w:type="pct"/>
          </w:tcPr>
          <w:p w14:paraId="7383059E" w14:textId="77777777" w:rsidR="00CE4531" w:rsidRPr="00220635" w:rsidRDefault="00CE4531" w:rsidP="00F70525">
            <w:pPr>
              <w:pStyle w:val="NoSpacing"/>
            </w:pPr>
            <w:r w:rsidRPr="00220635">
              <w:t>Carbamazepine</w:t>
            </w:r>
          </w:p>
        </w:tc>
        <w:tc>
          <w:tcPr>
            <w:tcW w:w="1077" w:type="pct"/>
            <w:vMerge/>
          </w:tcPr>
          <w:p w14:paraId="047B62E2" w14:textId="77777777" w:rsidR="00CE4531" w:rsidRPr="00220635" w:rsidRDefault="00CE4531" w:rsidP="00F70525">
            <w:pPr>
              <w:pStyle w:val="NoSpacing"/>
            </w:pPr>
          </w:p>
        </w:tc>
      </w:tr>
      <w:tr w:rsidR="00CE4531" w:rsidRPr="00220635" w14:paraId="3E296590" w14:textId="77777777" w:rsidTr="00B62B39">
        <w:tc>
          <w:tcPr>
            <w:tcW w:w="1407" w:type="pct"/>
            <w:vMerge w:val="restart"/>
          </w:tcPr>
          <w:p w14:paraId="1C667A1E" w14:textId="77777777" w:rsidR="00CE4531" w:rsidRPr="00220635" w:rsidRDefault="00CE4531" w:rsidP="00F70525">
            <w:pPr>
              <w:pStyle w:val="NoSpacing"/>
            </w:pPr>
            <w:r w:rsidRPr="00220635">
              <w:t>Antiretrovirals</w:t>
            </w:r>
          </w:p>
        </w:tc>
        <w:tc>
          <w:tcPr>
            <w:tcW w:w="2516" w:type="pct"/>
          </w:tcPr>
          <w:p w14:paraId="2267837A" w14:textId="77777777" w:rsidR="00CE4531" w:rsidRPr="00220635" w:rsidRDefault="00CE4531" w:rsidP="00F70525">
            <w:pPr>
              <w:pStyle w:val="NoSpacing"/>
            </w:pPr>
            <w:r w:rsidRPr="00220635">
              <w:t>Nevirapine</w:t>
            </w:r>
          </w:p>
        </w:tc>
        <w:tc>
          <w:tcPr>
            <w:tcW w:w="1077" w:type="pct"/>
            <w:vMerge/>
          </w:tcPr>
          <w:p w14:paraId="782BAA18" w14:textId="77777777" w:rsidR="00CE4531" w:rsidRPr="00220635" w:rsidRDefault="00CE4531" w:rsidP="00F70525">
            <w:pPr>
              <w:pStyle w:val="NoSpacing"/>
            </w:pPr>
          </w:p>
        </w:tc>
      </w:tr>
      <w:tr w:rsidR="00CE4531" w:rsidRPr="00220635" w14:paraId="27B043F9" w14:textId="77777777" w:rsidTr="00B62B39">
        <w:trPr>
          <w:trHeight w:val="231"/>
        </w:trPr>
        <w:tc>
          <w:tcPr>
            <w:tcW w:w="1407" w:type="pct"/>
            <w:vMerge/>
          </w:tcPr>
          <w:p w14:paraId="552A0F1E" w14:textId="77777777" w:rsidR="00CE4531" w:rsidRPr="00220635" w:rsidRDefault="00CE4531" w:rsidP="00F70525">
            <w:pPr>
              <w:pStyle w:val="NoSpacing"/>
            </w:pPr>
          </w:p>
        </w:tc>
        <w:tc>
          <w:tcPr>
            <w:tcW w:w="2516" w:type="pct"/>
          </w:tcPr>
          <w:p w14:paraId="4992C884" w14:textId="77777777" w:rsidR="00CE4531" w:rsidRPr="00220635" w:rsidRDefault="00CE4531" w:rsidP="00F70525">
            <w:pPr>
              <w:pStyle w:val="NoSpacing"/>
            </w:pPr>
            <w:r w:rsidRPr="00220635">
              <w:t>Lopinavir/ritonavir</w:t>
            </w:r>
          </w:p>
        </w:tc>
        <w:tc>
          <w:tcPr>
            <w:tcW w:w="1077" w:type="pct"/>
            <w:vMerge/>
          </w:tcPr>
          <w:p w14:paraId="1F2348E5" w14:textId="77777777" w:rsidR="00CE4531" w:rsidRPr="00220635" w:rsidRDefault="00CE4531" w:rsidP="00F70525">
            <w:pPr>
              <w:pStyle w:val="NoSpacing"/>
            </w:pPr>
          </w:p>
        </w:tc>
      </w:tr>
      <w:tr w:rsidR="00CE4531" w:rsidRPr="00220635" w14:paraId="6967370F" w14:textId="77777777" w:rsidTr="00B62B39">
        <w:trPr>
          <w:trHeight w:val="58"/>
        </w:trPr>
        <w:tc>
          <w:tcPr>
            <w:tcW w:w="1407" w:type="pct"/>
            <w:vMerge/>
          </w:tcPr>
          <w:p w14:paraId="302C6593" w14:textId="77777777" w:rsidR="00CE4531" w:rsidRPr="00220635" w:rsidRDefault="00CE4531" w:rsidP="00F70525">
            <w:pPr>
              <w:pStyle w:val="NoSpacing"/>
            </w:pPr>
          </w:p>
        </w:tc>
        <w:tc>
          <w:tcPr>
            <w:tcW w:w="2516" w:type="pct"/>
          </w:tcPr>
          <w:p w14:paraId="32418222" w14:textId="77777777" w:rsidR="00CE4531" w:rsidRPr="00220635" w:rsidRDefault="00CE4531" w:rsidP="00F70525">
            <w:pPr>
              <w:pStyle w:val="NoSpacing"/>
            </w:pPr>
            <w:r w:rsidRPr="00220635">
              <w:t>Efavirenz</w:t>
            </w:r>
          </w:p>
        </w:tc>
        <w:tc>
          <w:tcPr>
            <w:tcW w:w="1077" w:type="pct"/>
            <w:vMerge/>
          </w:tcPr>
          <w:p w14:paraId="162A2201" w14:textId="77777777" w:rsidR="00CE4531" w:rsidRPr="00220635" w:rsidRDefault="00CE4531" w:rsidP="00F70525">
            <w:pPr>
              <w:pStyle w:val="NoSpacing"/>
            </w:pPr>
          </w:p>
        </w:tc>
      </w:tr>
    </w:tbl>
    <w:p w14:paraId="37B82B38" w14:textId="77777777" w:rsidR="00CE4531" w:rsidRPr="00220635" w:rsidRDefault="00CE4531" w:rsidP="00B62B39">
      <w:pPr>
        <w:pStyle w:val="Heading7"/>
      </w:pPr>
      <w:r w:rsidRPr="00220635">
        <w:t>Non-liver enzyme inducing medicines</w:t>
      </w:r>
    </w:p>
    <w:p w14:paraId="2F5EC4FB" w14:textId="77777777" w:rsidR="00CE4531" w:rsidRPr="00220635" w:rsidRDefault="00CE4531" w:rsidP="00CE4531">
      <w:pPr>
        <w:pStyle w:val="NoSpacing"/>
      </w:pPr>
      <w:r w:rsidRPr="00220635">
        <w:t>Lamotrigine:</w:t>
      </w:r>
    </w:p>
    <w:p w14:paraId="61B7AF84" w14:textId="77777777" w:rsidR="00CE4531" w:rsidRPr="00220635" w:rsidRDefault="00CE4531" w:rsidP="006F3C7E">
      <w:pPr>
        <w:pStyle w:val="ListParagraph"/>
      </w:pPr>
      <w:r w:rsidRPr="00220635">
        <w:t>Lowering of contraceptive effect not expected.</w:t>
      </w:r>
    </w:p>
    <w:p w14:paraId="5ED54F17" w14:textId="77777777" w:rsidR="00CE4531" w:rsidRPr="00220635" w:rsidRDefault="00CE4531" w:rsidP="006F3C7E">
      <w:pPr>
        <w:pStyle w:val="ListParagraph"/>
      </w:pPr>
      <w:r w:rsidRPr="00220635">
        <w:lastRenderedPageBreak/>
        <w:t>Oral contraceptives may reduce lamotrigine concentration by 50%, increasing the risk of seizures. Consider alternative dual contraception method.</w:t>
      </w:r>
    </w:p>
    <w:p w14:paraId="38481406" w14:textId="77777777" w:rsidR="00CE4531" w:rsidRPr="00220635" w:rsidRDefault="00CE4531" w:rsidP="00B62B39">
      <w:pPr>
        <w:pStyle w:val="Heading7"/>
      </w:pPr>
      <w:r w:rsidRPr="00220635">
        <w:t>Breastfeeding</w:t>
      </w:r>
    </w:p>
    <w:p w14:paraId="40350EE2" w14:textId="77777777" w:rsidR="00CE4531" w:rsidRPr="00220635" w:rsidRDefault="00CE4531" w:rsidP="006F3C7E">
      <w:pPr>
        <w:pStyle w:val="ListParagraph"/>
      </w:pPr>
      <w:r w:rsidRPr="00220635">
        <w:t>Women who are intending to breastfeed should delay initiation of COCs until cessation of breastfeeding or at 6 months postpartum, whichever occurs earlier.</w:t>
      </w:r>
    </w:p>
    <w:p w14:paraId="4E88D2BC" w14:textId="77777777" w:rsidR="00CE4531" w:rsidRPr="00220635" w:rsidRDefault="00CE4531" w:rsidP="006F3C7E">
      <w:pPr>
        <w:pStyle w:val="Heading5"/>
      </w:pPr>
      <w:r w:rsidRPr="00220635">
        <w:t>REFERRAL</w:t>
      </w:r>
    </w:p>
    <w:p w14:paraId="72095FF1" w14:textId="08807560" w:rsidR="00CE4531" w:rsidRPr="00220635" w:rsidRDefault="00CE4531" w:rsidP="00CE4531">
      <w:pPr>
        <w:pStyle w:val="NoSpacing"/>
      </w:pPr>
      <w:r w:rsidRPr="00220635">
        <w:t>Abnormal vaginal bleeding for &gt;3 months.</w:t>
      </w:r>
    </w:p>
    <w:p w14:paraId="6CB2A519" w14:textId="77777777" w:rsidR="00CE4531" w:rsidRPr="00220635" w:rsidRDefault="00CE4531" w:rsidP="00CE4531">
      <w:pPr>
        <w:pStyle w:val="NoSpacing"/>
      </w:pPr>
    </w:p>
    <w:p w14:paraId="1C74965D" w14:textId="77777777" w:rsidR="00CE4531" w:rsidRPr="00220635" w:rsidRDefault="00161B0A" w:rsidP="00161B0A">
      <w:pPr>
        <w:pStyle w:val="Heading3"/>
      </w:pPr>
      <w:bookmarkStart w:id="9" w:name="_Toc66085698"/>
      <w:r w:rsidRPr="00220635">
        <w:t>Missed pills</w:t>
      </w:r>
      <w:bookmarkEnd w:id="9"/>
      <w:r w:rsidR="00E30FA8" w:rsidRPr="00220635">
        <w:fldChar w:fldCharType="begin"/>
      </w:r>
      <w:r w:rsidR="00E30FA8" w:rsidRPr="00220635">
        <w:instrText xml:space="preserve"> XE "Missed pills" \f “c”</w:instrText>
      </w:r>
      <w:r w:rsidR="00E30FA8" w:rsidRPr="00220635">
        <w:fldChar w:fldCharType="end"/>
      </w:r>
    </w:p>
    <w:p w14:paraId="3FB91F03" w14:textId="77777777" w:rsidR="00CE4531" w:rsidRPr="00220635" w:rsidRDefault="00CE4531" w:rsidP="006F3C7E">
      <w:pPr>
        <w:pStyle w:val="Heading6"/>
      </w:pPr>
      <w:r w:rsidRPr="00220635">
        <w:t>Progestin only pills</w:t>
      </w:r>
    </w:p>
    <w:p w14:paraId="660AF5C4" w14:textId="77777777" w:rsidR="00542C62" w:rsidRPr="00220635" w:rsidRDefault="00CE4531" w:rsidP="00CE4531">
      <w:pPr>
        <w:pStyle w:val="NoSpacing"/>
      </w:pPr>
      <w:r w:rsidRPr="00220635">
        <w:t>Efficacy is rapidly lost if one pill is forgotten or taken &gt;3 hours late. Recommend dual contraception for all scenarios</w:t>
      </w:r>
      <w:r w:rsidR="00542C62">
        <w:t xml:space="preserve"> for at least 7 days</w:t>
      </w:r>
      <w:r w:rsidRPr="00220635">
        <w:t>.</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542C62" w:rsidRPr="00220635" w14:paraId="41CBE1D6" w14:textId="77777777" w:rsidTr="007C4B43">
        <w:tc>
          <w:tcPr>
            <w:tcW w:w="907" w:type="dxa"/>
            <w:shd w:val="clear" w:color="auto" w:fill="FFFFFF" w:themeFill="background1"/>
          </w:tcPr>
          <w:p w14:paraId="4D83511F" w14:textId="506FC1EF" w:rsidR="00542C62" w:rsidRPr="00220635" w:rsidRDefault="00542C62" w:rsidP="00A93875">
            <w:pPr>
              <w:pStyle w:val="LoEText"/>
              <w:framePr w:hSpace="0" w:wrap="auto" w:vAnchor="margin" w:hAnchor="text" w:xAlign="left" w:yAlign="inline"/>
              <w:suppressOverlap w:val="0"/>
            </w:pPr>
            <w:proofErr w:type="spellStart"/>
            <w:r w:rsidRPr="00220635">
              <w:t>LoE:</w:t>
            </w:r>
            <w:r w:rsidR="00A93875">
              <w:t>IVb</w:t>
            </w:r>
            <w:proofErr w:type="spellEnd"/>
            <w:r w:rsidRPr="00220635">
              <w:rPr>
                <w:rStyle w:val="EndnoteReference8"/>
              </w:rPr>
              <w:endnoteReference w:id="21"/>
            </w:r>
          </w:p>
        </w:tc>
      </w:tr>
    </w:tbl>
    <w:p w14:paraId="3BE79CE4" w14:textId="4CEAC817" w:rsidR="00CE4531" w:rsidRPr="00220635" w:rsidRDefault="00CE4531" w:rsidP="00CE4531">
      <w:pPr>
        <w:pStyle w:val="NoSpacing"/>
      </w:pPr>
    </w:p>
    <w:tbl>
      <w:tblPr>
        <w:tblStyle w:val="SamplePHCTable"/>
        <w:tblW w:w="5000" w:type="pct"/>
        <w:tblLook w:val="01A0" w:firstRow="1" w:lastRow="0" w:firstColumn="1" w:lastColumn="1" w:noHBand="0" w:noVBand="0"/>
      </w:tblPr>
      <w:tblGrid>
        <w:gridCol w:w="3114"/>
        <w:gridCol w:w="3565"/>
      </w:tblGrid>
      <w:tr w:rsidR="00CE4531" w:rsidRPr="00220635" w14:paraId="6DE12E53" w14:textId="77777777" w:rsidTr="006F3C7E">
        <w:trPr>
          <w:cnfStyle w:val="100000000000" w:firstRow="1" w:lastRow="0" w:firstColumn="0" w:lastColumn="0" w:oddVBand="0" w:evenVBand="0" w:oddHBand="0" w:evenHBand="0" w:firstRowFirstColumn="0" w:firstRowLastColumn="0" w:lastRowFirstColumn="0" w:lastRowLastColumn="0"/>
        </w:trPr>
        <w:tc>
          <w:tcPr>
            <w:tcW w:w="2331" w:type="pct"/>
          </w:tcPr>
          <w:p w14:paraId="3F7AB8C2" w14:textId="77777777" w:rsidR="00CE4531" w:rsidRPr="00220635" w:rsidRDefault="00CE4531" w:rsidP="006F3C7E">
            <w:pPr>
              <w:pStyle w:val="NoSpacing"/>
              <w:jc w:val="center"/>
            </w:pPr>
            <w:r w:rsidRPr="00220635">
              <w:t>Scenario</w:t>
            </w:r>
          </w:p>
        </w:tc>
        <w:tc>
          <w:tcPr>
            <w:tcW w:w="2669" w:type="pct"/>
          </w:tcPr>
          <w:p w14:paraId="620ED3D3" w14:textId="77777777" w:rsidR="00CE4531" w:rsidRPr="00220635" w:rsidRDefault="00CE4531" w:rsidP="006F3C7E">
            <w:pPr>
              <w:pStyle w:val="NoSpacing"/>
              <w:jc w:val="center"/>
            </w:pPr>
            <w:r w:rsidRPr="00220635">
              <w:t>Action</w:t>
            </w:r>
          </w:p>
        </w:tc>
      </w:tr>
      <w:tr w:rsidR="00CE4531" w:rsidRPr="00220635" w14:paraId="460D5149" w14:textId="77777777" w:rsidTr="006F3C7E">
        <w:tc>
          <w:tcPr>
            <w:tcW w:w="2331" w:type="pct"/>
          </w:tcPr>
          <w:p w14:paraId="72BB1CD6" w14:textId="77777777" w:rsidR="00CE4531" w:rsidRPr="00220635" w:rsidRDefault="00CE4531" w:rsidP="00F70525">
            <w:pPr>
              <w:pStyle w:val="NoSpacing"/>
            </w:pPr>
            <w:r w:rsidRPr="00220635">
              <w:t>One pill forgotten or if pill taken &gt;3 hours late and unprotected sexual intercourse has not occurred in the past 5 days.</w:t>
            </w:r>
          </w:p>
        </w:tc>
        <w:tc>
          <w:tcPr>
            <w:tcW w:w="2669" w:type="pct"/>
          </w:tcPr>
          <w:p w14:paraId="0F4E3328" w14:textId="77777777" w:rsidR="00CE4531" w:rsidRPr="00220635" w:rsidRDefault="00CE4531" w:rsidP="00F70525">
            <w:pPr>
              <w:pStyle w:val="NoSpacing"/>
            </w:pPr>
            <w:r w:rsidRPr="00220635">
              <w:t xml:space="preserve">Take pill as soon as remembered and continue taking one pill daily at the same hour. </w:t>
            </w:r>
          </w:p>
        </w:tc>
      </w:tr>
      <w:tr w:rsidR="00CE4531" w:rsidRPr="00220635" w14:paraId="57E03AE2" w14:textId="77777777" w:rsidTr="006F3C7E">
        <w:tc>
          <w:tcPr>
            <w:tcW w:w="2331" w:type="pct"/>
          </w:tcPr>
          <w:p w14:paraId="07F42980" w14:textId="04A154BD" w:rsidR="00CE4531" w:rsidRPr="00220635" w:rsidRDefault="00CE4531" w:rsidP="00F70525">
            <w:pPr>
              <w:pStyle w:val="NoSpacing"/>
            </w:pPr>
            <w:r w:rsidRPr="00220635">
              <w:t>One pill forgotten or if taken 3 hours late and unprotected sexual intercourse has occurred in the past 5 days.</w:t>
            </w:r>
          </w:p>
        </w:tc>
        <w:tc>
          <w:tcPr>
            <w:tcW w:w="2669" w:type="pct"/>
          </w:tcPr>
          <w:p w14:paraId="3CE8CE05" w14:textId="77777777" w:rsidR="00CE4531" w:rsidRPr="00220635" w:rsidRDefault="00CE4531" w:rsidP="00F70525">
            <w:pPr>
              <w:pStyle w:val="NoSpacing"/>
            </w:pPr>
            <w:r w:rsidRPr="00220635">
              <w:t>Give emergency contraception (see Section 7.4).</w:t>
            </w:r>
          </w:p>
          <w:p w14:paraId="4A346A56" w14:textId="77777777" w:rsidR="00CE4531" w:rsidRPr="00220635" w:rsidRDefault="00CE4531" w:rsidP="00F70525">
            <w:pPr>
              <w:pStyle w:val="NoSpacing"/>
            </w:pPr>
            <w:r w:rsidRPr="00220635">
              <w:t>Take one pill the next day and continue taking one pill daily at the same hour.</w:t>
            </w:r>
          </w:p>
        </w:tc>
      </w:tr>
    </w:tbl>
    <w:p w14:paraId="503FE18B" w14:textId="77777777" w:rsidR="00CE4531" w:rsidRPr="00220635" w:rsidRDefault="00CE4531" w:rsidP="00BB76ED">
      <w:pPr>
        <w:pStyle w:val="Heading6"/>
      </w:pPr>
      <w:r w:rsidRPr="00220635">
        <w:t xml:space="preserve">Combination of progestin and </w:t>
      </w:r>
      <w:proofErr w:type="spellStart"/>
      <w:r w:rsidRPr="00220635">
        <w:t>estrogen</w:t>
      </w:r>
      <w:proofErr w:type="spellEnd"/>
      <w:r w:rsidRPr="00220635">
        <w:t xml:space="preserve"> in each pill</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CE4531" w:rsidRPr="00220635" w14:paraId="007453A9" w14:textId="77777777" w:rsidTr="004340AF">
        <w:tc>
          <w:tcPr>
            <w:tcW w:w="907" w:type="dxa"/>
            <w:shd w:val="clear" w:color="auto" w:fill="FFFFFF" w:themeFill="background1"/>
          </w:tcPr>
          <w:p w14:paraId="3DBC6B7C" w14:textId="150E716E" w:rsidR="00CE4531" w:rsidRPr="00220635" w:rsidRDefault="00CE4531" w:rsidP="00BB76ED">
            <w:pPr>
              <w:pStyle w:val="LoEText"/>
              <w:framePr w:hSpace="0" w:wrap="auto" w:vAnchor="margin" w:hAnchor="text" w:xAlign="left" w:yAlign="inline"/>
              <w:suppressOverlap w:val="0"/>
            </w:pPr>
            <w:proofErr w:type="spellStart"/>
            <w:r w:rsidRPr="00220635">
              <w:t>LoE:I</w:t>
            </w:r>
            <w:r w:rsidR="00A93875">
              <w:t>Vb</w:t>
            </w:r>
            <w:proofErr w:type="spellEnd"/>
            <w:r w:rsidRPr="00220635">
              <w:rPr>
                <w:rStyle w:val="EndnoteReference8"/>
              </w:rPr>
              <w:endnoteReference w:id="22"/>
            </w:r>
          </w:p>
        </w:tc>
      </w:tr>
    </w:tbl>
    <w:p w14:paraId="1278B334" w14:textId="77777777" w:rsidR="00542C62" w:rsidRPr="00220635" w:rsidRDefault="00CE4531" w:rsidP="00CE4531">
      <w:pPr>
        <w:pStyle w:val="NoSpacing"/>
      </w:pPr>
      <w:r w:rsidRPr="00220635">
        <w:t>Missing active pills and extending hormone free interval leads to decreased contraceptive efficacy. Recommend dual contraception for all scenarios</w:t>
      </w:r>
      <w:r w:rsidR="00542C62">
        <w:t xml:space="preserve"> for at least 7 days</w:t>
      </w:r>
      <w:r w:rsidRPr="00220635">
        <w:t xml:space="preserve">. </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542C62" w:rsidRPr="00220635" w14:paraId="2634D86F" w14:textId="77777777" w:rsidTr="007C4B43">
        <w:tc>
          <w:tcPr>
            <w:tcW w:w="907" w:type="dxa"/>
            <w:shd w:val="clear" w:color="auto" w:fill="FFFFFF" w:themeFill="background1"/>
          </w:tcPr>
          <w:p w14:paraId="3B7F8597" w14:textId="4B24BE78" w:rsidR="00542C62" w:rsidRPr="00220635" w:rsidRDefault="00542C62" w:rsidP="007C4B43">
            <w:pPr>
              <w:pStyle w:val="LoEText"/>
              <w:framePr w:hSpace="0" w:wrap="auto" w:vAnchor="margin" w:hAnchor="text" w:xAlign="left" w:yAlign="inline"/>
              <w:suppressOverlap w:val="0"/>
            </w:pPr>
            <w:proofErr w:type="spellStart"/>
            <w:r w:rsidRPr="00220635">
              <w:t>LoE:I</w:t>
            </w:r>
            <w:r w:rsidR="00A93875">
              <w:t>Vb</w:t>
            </w:r>
            <w:proofErr w:type="spellEnd"/>
            <w:r w:rsidRPr="00220635">
              <w:rPr>
                <w:rStyle w:val="EndnoteReference8"/>
              </w:rPr>
              <w:endnoteReference w:id="23"/>
            </w:r>
          </w:p>
        </w:tc>
      </w:tr>
    </w:tbl>
    <w:p w14:paraId="09BA252F" w14:textId="2510D99A" w:rsidR="00CE4531" w:rsidRPr="00220635" w:rsidRDefault="00CE4531" w:rsidP="00CE4531">
      <w:pPr>
        <w:pStyle w:val="NoSpacing"/>
      </w:pPr>
    </w:p>
    <w:tbl>
      <w:tblPr>
        <w:tblStyle w:val="SamplePHCTable"/>
        <w:tblW w:w="5000" w:type="pct"/>
        <w:tblLook w:val="01A0" w:firstRow="1" w:lastRow="0" w:firstColumn="1" w:lastColumn="1" w:noHBand="0" w:noVBand="0"/>
      </w:tblPr>
      <w:tblGrid>
        <w:gridCol w:w="3114"/>
        <w:gridCol w:w="3565"/>
      </w:tblGrid>
      <w:tr w:rsidR="00CE4531" w:rsidRPr="00220635" w14:paraId="40983D9F" w14:textId="77777777" w:rsidTr="009A672A">
        <w:trPr>
          <w:cnfStyle w:val="100000000000" w:firstRow="1" w:lastRow="0" w:firstColumn="0" w:lastColumn="0" w:oddVBand="0" w:evenVBand="0" w:oddHBand="0" w:evenHBand="0" w:firstRowFirstColumn="0" w:firstRowLastColumn="0" w:lastRowFirstColumn="0" w:lastRowLastColumn="0"/>
        </w:trPr>
        <w:tc>
          <w:tcPr>
            <w:tcW w:w="2331" w:type="pct"/>
          </w:tcPr>
          <w:p w14:paraId="453124B0" w14:textId="77777777" w:rsidR="00CE4531" w:rsidRPr="00220635" w:rsidRDefault="00CE4531" w:rsidP="009A672A">
            <w:pPr>
              <w:pStyle w:val="NoSpacing"/>
              <w:jc w:val="center"/>
            </w:pPr>
            <w:r w:rsidRPr="00220635">
              <w:t>Scenario</w:t>
            </w:r>
          </w:p>
        </w:tc>
        <w:tc>
          <w:tcPr>
            <w:tcW w:w="2669" w:type="pct"/>
          </w:tcPr>
          <w:p w14:paraId="09594427" w14:textId="77777777" w:rsidR="00CE4531" w:rsidRPr="00220635" w:rsidRDefault="00CE4531" w:rsidP="009A672A">
            <w:pPr>
              <w:pStyle w:val="NoSpacing"/>
              <w:jc w:val="center"/>
            </w:pPr>
            <w:r w:rsidRPr="00220635">
              <w:t>Action</w:t>
            </w:r>
          </w:p>
        </w:tc>
      </w:tr>
      <w:tr w:rsidR="00CE4531" w:rsidRPr="00220635" w14:paraId="62D1EC59" w14:textId="77777777" w:rsidTr="009A672A">
        <w:tc>
          <w:tcPr>
            <w:tcW w:w="2331" w:type="pct"/>
          </w:tcPr>
          <w:p w14:paraId="2B80D21B" w14:textId="77777777" w:rsidR="00CE4531" w:rsidRPr="00220635" w:rsidRDefault="00CE4531" w:rsidP="00F70525">
            <w:pPr>
              <w:pStyle w:val="NoSpacing"/>
            </w:pPr>
            <w:r w:rsidRPr="00220635">
              <w:t>One active pill forgotten.</w:t>
            </w:r>
          </w:p>
        </w:tc>
        <w:tc>
          <w:tcPr>
            <w:tcW w:w="2669" w:type="pct"/>
          </w:tcPr>
          <w:p w14:paraId="08092B61" w14:textId="77777777" w:rsidR="00CE4531" w:rsidRPr="00220635" w:rsidRDefault="00CE4531" w:rsidP="00F70525">
            <w:pPr>
              <w:pStyle w:val="NoSpacing"/>
            </w:pPr>
            <w:r w:rsidRPr="00220635">
              <w:t xml:space="preserve">Take pill as soon as remembered and take next one at usual time. </w:t>
            </w:r>
          </w:p>
        </w:tc>
      </w:tr>
      <w:tr w:rsidR="00CE4531" w:rsidRPr="00220635" w14:paraId="76EA142A" w14:textId="77777777" w:rsidTr="009A672A">
        <w:tc>
          <w:tcPr>
            <w:tcW w:w="2331" w:type="pct"/>
          </w:tcPr>
          <w:p w14:paraId="2A64F072" w14:textId="77777777" w:rsidR="00CE4531" w:rsidRPr="00220635" w:rsidRDefault="00CE4531" w:rsidP="00F70525">
            <w:pPr>
              <w:pStyle w:val="NoSpacing"/>
            </w:pPr>
            <w:r w:rsidRPr="00220635">
              <w:t>≥ Two pills forgotten during the first 7 active pills of the pack and sexual intercourse has occurred in the past 5 days.</w:t>
            </w:r>
          </w:p>
        </w:tc>
        <w:tc>
          <w:tcPr>
            <w:tcW w:w="2669" w:type="pct"/>
          </w:tcPr>
          <w:p w14:paraId="7D68FE48" w14:textId="77777777" w:rsidR="00CE4531" w:rsidRPr="00220635" w:rsidRDefault="00CE4531" w:rsidP="00F70525">
            <w:pPr>
              <w:pStyle w:val="NoSpacing"/>
            </w:pPr>
            <w:r w:rsidRPr="00220635">
              <w:t>Give emergency contraception (see Section 7.4).</w:t>
            </w:r>
          </w:p>
          <w:p w14:paraId="3FF00B30" w14:textId="77777777" w:rsidR="00CE4531" w:rsidRPr="00220635" w:rsidRDefault="00CE4531" w:rsidP="00F70525">
            <w:pPr>
              <w:pStyle w:val="NoSpacing"/>
            </w:pPr>
            <w:r w:rsidRPr="00220635">
              <w:t>Restart active pills 12 hours later.</w:t>
            </w:r>
          </w:p>
        </w:tc>
      </w:tr>
      <w:tr w:rsidR="00CE4531" w:rsidRPr="00220635" w14:paraId="3228BCCB" w14:textId="77777777" w:rsidTr="009A672A">
        <w:tc>
          <w:tcPr>
            <w:tcW w:w="2331" w:type="pct"/>
          </w:tcPr>
          <w:p w14:paraId="0D148666" w14:textId="77777777" w:rsidR="00CE4531" w:rsidRPr="00220635" w:rsidRDefault="00CE4531" w:rsidP="009A672A">
            <w:pPr>
              <w:pStyle w:val="NoSpacing"/>
            </w:pPr>
            <w:r w:rsidRPr="00220635">
              <w:t>≥ Two pills forgotten during the middle 7 active pills of the pack.</w:t>
            </w:r>
          </w:p>
        </w:tc>
        <w:tc>
          <w:tcPr>
            <w:tcW w:w="2669" w:type="pct"/>
          </w:tcPr>
          <w:p w14:paraId="6774A356" w14:textId="775BDEAE" w:rsidR="00CE4531" w:rsidRPr="00220635" w:rsidRDefault="00CE4531" w:rsidP="00F70525">
            <w:pPr>
              <w:pStyle w:val="NoSpacing"/>
            </w:pPr>
            <w:r w:rsidRPr="00220635">
              <w:t>Take the most recent missed pill immediately (discard the other</w:t>
            </w:r>
            <w:r w:rsidR="006D60AB">
              <w:t xml:space="preserve"> missed pills</w:t>
            </w:r>
            <w:r w:rsidRPr="00220635">
              <w:t>).</w:t>
            </w:r>
          </w:p>
          <w:p w14:paraId="00AB017F" w14:textId="77777777" w:rsidR="00CE4531" w:rsidRPr="00220635" w:rsidRDefault="00CE4531" w:rsidP="00F70525">
            <w:pPr>
              <w:pStyle w:val="NoSpacing"/>
            </w:pPr>
            <w:r w:rsidRPr="00220635">
              <w:t>Continue taking remaining pills as usual.</w:t>
            </w:r>
          </w:p>
          <w:p w14:paraId="3B652427" w14:textId="77777777" w:rsidR="00CE4531" w:rsidRPr="00220635" w:rsidRDefault="00CE4531" w:rsidP="00F70525">
            <w:pPr>
              <w:pStyle w:val="NoSpacing"/>
            </w:pPr>
            <w:r w:rsidRPr="00220635">
              <w:t>No emergency contraception required.</w:t>
            </w:r>
          </w:p>
        </w:tc>
      </w:tr>
      <w:tr w:rsidR="00CE4531" w:rsidRPr="00220635" w14:paraId="35DD38F8" w14:textId="77777777" w:rsidTr="009A672A">
        <w:tc>
          <w:tcPr>
            <w:tcW w:w="2331" w:type="pct"/>
          </w:tcPr>
          <w:p w14:paraId="5FDF87C5" w14:textId="77777777" w:rsidR="00CE4531" w:rsidRPr="00220635" w:rsidRDefault="00CE4531" w:rsidP="00F70525">
            <w:pPr>
              <w:pStyle w:val="NoSpacing"/>
            </w:pPr>
            <w:r w:rsidRPr="00220635">
              <w:t>≥ Two pills forgotten in the last 7 active pills of the pack and sexual intercourse has occurred in past 5 days.</w:t>
            </w:r>
          </w:p>
        </w:tc>
        <w:tc>
          <w:tcPr>
            <w:tcW w:w="2669" w:type="pct"/>
          </w:tcPr>
          <w:p w14:paraId="1D686A1C" w14:textId="77777777" w:rsidR="00CE4531" w:rsidRPr="00220635" w:rsidRDefault="00CE4531" w:rsidP="00F70525">
            <w:pPr>
              <w:pStyle w:val="NoSpacing"/>
            </w:pPr>
            <w:r w:rsidRPr="00220635">
              <w:t>Continue active pills of current pack.</w:t>
            </w:r>
          </w:p>
          <w:p w14:paraId="49BB69F8" w14:textId="77777777" w:rsidR="00CE4531" w:rsidRPr="00220635" w:rsidRDefault="00CE4531" w:rsidP="00F70525">
            <w:pPr>
              <w:pStyle w:val="NoSpacing"/>
            </w:pPr>
            <w:r w:rsidRPr="00220635">
              <w:t>Omit the inactive pills and immediately start the active pills of the next pack.</w:t>
            </w:r>
          </w:p>
        </w:tc>
      </w:tr>
    </w:tbl>
    <w:p w14:paraId="02DF4ED3" w14:textId="77777777" w:rsidR="00CE4531" w:rsidRPr="00220635" w:rsidRDefault="00CE4531" w:rsidP="00CE4531">
      <w:pPr>
        <w:pStyle w:val="NoSpacing"/>
      </w:pPr>
    </w:p>
    <w:p w14:paraId="4BDFA821" w14:textId="77777777" w:rsidR="00CE4531" w:rsidRPr="00220635" w:rsidRDefault="00161B0A" w:rsidP="00161B0A">
      <w:pPr>
        <w:pStyle w:val="Heading2"/>
      </w:pPr>
      <w:bookmarkStart w:id="10" w:name="_Toc66085699"/>
      <w:r w:rsidRPr="00220635">
        <w:t>Contraception, barrier methods</w:t>
      </w:r>
      <w:bookmarkEnd w:id="10"/>
      <w:r w:rsidR="00E30FA8" w:rsidRPr="00220635">
        <w:fldChar w:fldCharType="begin"/>
      </w:r>
      <w:r w:rsidR="00E30FA8" w:rsidRPr="00220635">
        <w:instrText xml:space="preserve"> XE "Contraception, barrier methods" \f “c”</w:instrText>
      </w:r>
      <w:r w:rsidR="00E30FA8" w:rsidRPr="00220635">
        <w:fldChar w:fldCharType="end"/>
      </w:r>
    </w:p>
    <w:p w14:paraId="5E41CBA9" w14:textId="77777777" w:rsidR="00CE4531" w:rsidRPr="00220635" w:rsidRDefault="00CE4531" w:rsidP="00161B0A">
      <w:pPr>
        <w:pStyle w:val="ICD10"/>
      </w:pPr>
      <w:r w:rsidRPr="00220635">
        <w:t>Z30.0/Z30.4/Z30.5</w:t>
      </w:r>
    </w:p>
    <w:p w14:paraId="1D2F02CA" w14:textId="1A7A9EAB" w:rsidR="00CE4531" w:rsidRPr="00220635" w:rsidRDefault="00CE4531" w:rsidP="009A672A">
      <w:r w:rsidRPr="00220635">
        <w:t xml:space="preserve">Condoms (male and female) alone are </w:t>
      </w:r>
      <w:r w:rsidR="003F439F">
        <w:t>the least</w:t>
      </w:r>
      <w:r w:rsidRPr="00220635">
        <w:t xml:space="preserve"> effective contraceptive method and should be used in combination with other contraceptive methods (e.g. copper IUCD). Condoms are recommended to reduce the risk of the acquisition of STIs and HIV infection.</w:t>
      </w:r>
    </w:p>
    <w:p w14:paraId="2F8AC48B" w14:textId="77777777" w:rsidR="00CE4531" w:rsidRPr="00220635" w:rsidRDefault="00CE4531" w:rsidP="009A672A">
      <w:r w:rsidRPr="00220635">
        <w:lastRenderedPageBreak/>
        <w:t>Condoms (male and female) or other barrier methods may be an option for contraception where other methods are contraindicated.</w:t>
      </w:r>
    </w:p>
    <w:p w14:paraId="79A2D512" w14:textId="7900930C" w:rsidR="00CE4531" w:rsidRPr="00220635" w:rsidRDefault="00CE4531" w:rsidP="00CE4531">
      <w:pPr>
        <w:pStyle w:val="NoSpacing"/>
      </w:pPr>
    </w:p>
    <w:p w14:paraId="76D505CD" w14:textId="77777777" w:rsidR="00CE4531" w:rsidRPr="00220635" w:rsidRDefault="00161B0A" w:rsidP="00161B0A">
      <w:pPr>
        <w:pStyle w:val="Heading2"/>
      </w:pPr>
      <w:bookmarkStart w:id="11" w:name="_Toc66085700"/>
      <w:r w:rsidRPr="00220635">
        <w:t>Contraception, emergency</w:t>
      </w:r>
      <w:bookmarkEnd w:id="11"/>
      <w:r w:rsidR="00E30FA8" w:rsidRPr="00220635">
        <w:fldChar w:fldCharType="begin"/>
      </w:r>
      <w:r w:rsidR="00E30FA8" w:rsidRPr="00220635">
        <w:instrText xml:space="preserve"> XE "Contraception, emergency" \f “c”</w:instrText>
      </w:r>
      <w:r w:rsidR="00E30FA8" w:rsidRPr="00220635">
        <w:fldChar w:fldCharType="end"/>
      </w:r>
      <w:r w:rsidRPr="00220635">
        <w:t xml:space="preserve"> </w:t>
      </w:r>
    </w:p>
    <w:p w14:paraId="654C89D3" w14:textId="77777777" w:rsidR="00CE4531" w:rsidRPr="00220635" w:rsidRDefault="00CE4531" w:rsidP="00161B0A">
      <w:pPr>
        <w:pStyle w:val="ICD10"/>
      </w:pPr>
      <w:r w:rsidRPr="00220635">
        <w:t>Z30.0/Z30.4</w:t>
      </w:r>
    </w:p>
    <w:p w14:paraId="5634125B" w14:textId="77777777" w:rsidR="00CE4531" w:rsidRPr="00220635" w:rsidRDefault="00CE4531" w:rsidP="009A672A">
      <w:r w:rsidRPr="00220635">
        <w:t>Emergency contraception is indicated to prevent pregnancy after unprotected intercourse in women not using contraception or where contraception is likely to be ineffective:</w:t>
      </w:r>
    </w:p>
    <w:p w14:paraId="26B11E47" w14:textId="77777777" w:rsidR="00CE4531" w:rsidRPr="00220635" w:rsidRDefault="00CE4531" w:rsidP="002C5B11">
      <w:pPr>
        <w:pStyle w:val="ListParagraph"/>
      </w:pPr>
      <w:r w:rsidRPr="00220635">
        <w:t>forgotten tablets (See Section 7.2.4: Missed pills)</w:t>
      </w:r>
    </w:p>
    <w:p w14:paraId="73E34EE0" w14:textId="77777777" w:rsidR="00CE4531" w:rsidRPr="00220635" w:rsidRDefault="00CE4531" w:rsidP="002C5B11">
      <w:pPr>
        <w:pStyle w:val="ListParagraph"/>
      </w:pPr>
      <w:r w:rsidRPr="00220635">
        <w:t>slipped or broken condom</w:t>
      </w:r>
    </w:p>
    <w:p w14:paraId="7255D358" w14:textId="6750D9EE" w:rsidR="00CE4531" w:rsidRPr="00220635" w:rsidRDefault="00CE4531" w:rsidP="002C5B11">
      <w:pPr>
        <w:pStyle w:val="ListParagraph"/>
      </w:pPr>
      <w:r w:rsidRPr="00220635">
        <w:t>inject</w:t>
      </w:r>
      <w:r w:rsidR="005C737B">
        <w:t>able contraception</w:t>
      </w:r>
      <w:r w:rsidRPr="00220635">
        <w:t xml:space="preserve"> given &gt;2 weeks late</w:t>
      </w:r>
    </w:p>
    <w:p w14:paraId="6199CD6E" w14:textId="6F8CC96A" w:rsidR="00CE4531" w:rsidRDefault="00CE4531" w:rsidP="002C5B11">
      <w:pPr>
        <w:pStyle w:val="ListParagraph"/>
      </w:pPr>
      <w:r w:rsidRPr="00220635">
        <w:t>sexual assault</w:t>
      </w:r>
    </w:p>
    <w:p w14:paraId="2636CFA5" w14:textId="77777777" w:rsidR="00911C8B" w:rsidRPr="003842DD" w:rsidRDefault="00911C8B" w:rsidP="00911C8B">
      <w:pPr>
        <w:rPr>
          <w:rFonts w:cs="Arial"/>
          <w:b/>
          <w:bCs/>
          <w:color w:val="000000"/>
          <w:szCs w:val="20"/>
        </w:rPr>
      </w:pPr>
      <w:r w:rsidRPr="003842DD">
        <w:rPr>
          <w:rFonts w:cs="Arial"/>
          <w:b/>
          <w:bCs/>
          <w:color w:val="000000"/>
          <w:szCs w:val="20"/>
        </w:rPr>
        <w:t>Emergency contraception after pregnancy is excluded</w:t>
      </w:r>
    </w:p>
    <w:p w14:paraId="1FC8BC71" w14:textId="21EB5898" w:rsidR="00911C8B" w:rsidRDefault="00911C8B" w:rsidP="00911C8B">
      <w:pPr>
        <w:rPr>
          <w:rFonts w:cs="Arial"/>
          <w:color w:val="000000"/>
          <w:szCs w:val="20"/>
        </w:rPr>
      </w:pPr>
      <w:r w:rsidRPr="00400665">
        <w:rPr>
          <w:rFonts w:cs="Arial"/>
          <w:bCs/>
          <w:color w:val="000000"/>
          <w:szCs w:val="20"/>
        </w:rPr>
        <w:t>Do a pregnancy test in all women and female adolescents</w:t>
      </w:r>
      <w:r>
        <w:rPr>
          <w:rFonts w:cs="Arial"/>
          <w:bCs/>
          <w:color w:val="000000"/>
          <w:szCs w:val="20"/>
        </w:rPr>
        <w:t xml:space="preserve">. </w:t>
      </w:r>
      <w:r w:rsidRPr="00400665">
        <w:rPr>
          <w:rFonts w:cs="Arial"/>
          <w:bCs/>
          <w:color w:val="000000"/>
          <w:szCs w:val="20"/>
        </w:rPr>
        <w:t>Childr</w:t>
      </w:r>
      <w:r w:rsidRPr="00400665">
        <w:rPr>
          <w:rFonts w:cs="Arial"/>
          <w:color w:val="000000"/>
        </w:rPr>
        <w:t>e</w:t>
      </w:r>
      <w:r>
        <w:rPr>
          <w:rFonts w:cs="Arial"/>
          <w:color w:val="000000"/>
          <w:szCs w:val="20"/>
        </w:rPr>
        <w:t>n must be tested and given Emergency contraception from Breast Tanner Stage III.</w:t>
      </w:r>
    </w:p>
    <w:p w14:paraId="72F20A2C" w14:textId="77777777" w:rsidR="00911C8B" w:rsidRDefault="00911C8B" w:rsidP="00911C8B">
      <w:pPr>
        <w:pStyle w:val="BulletTherapeuticclass"/>
      </w:pPr>
      <w:r w:rsidRPr="00220635">
        <w:t>Copper IUCD</w:t>
      </w:r>
      <w:r w:rsidRPr="00220635">
        <w:fldChar w:fldCharType="begin"/>
      </w:r>
      <w:r w:rsidRPr="00220635">
        <w:instrText xml:space="preserve"> XE "Copper IUCD" \f "m"</w:instrText>
      </w:r>
      <w:r w:rsidRPr="00220635">
        <w:fldChar w:fldCharType="end"/>
      </w:r>
      <w:r w:rsidRPr="00220635">
        <w:t>, e.g.:</w:t>
      </w:r>
    </w:p>
    <w:p w14:paraId="4A7D32FE" w14:textId="77777777" w:rsidR="00911C8B" w:rsidRPr="00220635" w:rsidRDefault="00911C8B" w:rsidP="00911C8B">
      <w:pPr>
        <w:pStyle w:val="BulletMedicine"/>
      </w:pPr>
      <w:r w:rsidRPr="00220635">
        <w:t>Cu T380A</w:t>
      </w:r>
      <w:r w:rsidRPr="00220635">
        <w:fldChar w:fldCharType="begin"/>
      </w:r>
      <w:r w:rsidRPr="00220635">
        <w:instrText xml:space="preserve"> XE "Cu T380A IUCD" \f "m"</w:instrText>
      </w:r>
      <w:r w:rsidRPr="00220635">
        <w:fldChar w:fldCharType="end"/>
      </w:r>
      <w:r w:rsidRPr="00220635">
        <w:t xml:space="preserve">, inserted as soon as possible after unprotected intercourse and not </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911C8B" w:rsidRPr="003F3B99" w14:paraId="4587D6EE" w14:textId="77777777" w:rsidTr="003A52C9">
        <w:tc>
          <w:tcPr>
            <w:tcW w:w="1134" w:type="dxa"/>
            <w:shd w:val="clear" w:color="auto" w:fill="auto"/>
          </w:tcPr>
          <w:p w14:paraId="401A219A" w14:textId="77777777" w:rsidR="00911C8B" w:rsidRPr="003F3B99" w:rsidRDefault="00911C8B" w:rsidP="00911C8B">
            <w:pPr>
              <w:spacing w:before="0" w:after="0"/>
              <w:jc w:val="right"/>
              <w:rPr>
                <w:i/>
                <w:sz w:val="16"/>
              </w:rPr>
            </w:pPr>
            <w:proofErr w:type="spellStart"/>
            <w:r w:rsidRPr="003F3B99">
              <w:rPr>
                <w:i/>
                <w:sz w:val="16"/>
              </w:rPr>
              <w:t>LoE:I</w:t>
            </w:r>
            <w:r>
              <w:rPr>
                <w:i/>
                <w:sz w:val="16"/>
              </w:rPr>
              <w:t>IIb</w:t>
            </w:r>
            <w:proofErr w:type="spellEnd"/>
            <w:r w:rsidRPr="003F3B99">
              <w:rPr>
                <w:rStyle w:val="EndnoteReference"/>
                <w:i/>
                <w:sz w:val="16"/>
                <w:szCs w:val="18"/>
              </w:rPr>
              <w:endnoteReference w:id="24"/>
            </w:r>
          </w:p>
        </w:tc>
      </w:tr>
    </w:tbl>
    <w:p w14:paraId="074D34F7" w14:textId="77777777" w:rsidR="00911C8B" w:rsidRDefault="00911C8B" w:rsidP="00911C8B">
      <w:pPr>
        <w:pStyle w:val="BulletMedicine"/>
        <w:numPr>
          <w:ilvl w:val="0"/>
          <w:numId w:val="0"/>
        </w:numPr>
        <w:ind w:left="284"/>
      </w:pPr>
      <w:r w:rsidRPr="00220635">
        <w:t xml:space="preserve">later than 5 days. </w:t>
      </w:r>
    </w:p>
    <w:p w14:paraId="37F5ACAA" w14:textId="77777777" w:rsidR="00911C8B" w:rsidRPr="00EF3F9B" w:rsidRDefault="00911C8B" w:rsidP="00911C8B">
      <w:pPr>
        <w:rPr>
          <w:b/>
        </w:rPr>
      </w:pPr>
      <w:r w:rsidRPr="00EF3F9B">
        <w:rPr>
          <w:b/>
        </w:rPr>
        <w:t>OR</w:t>
      </w:r>
    </w:p>
    <w:p w14:paraId="66EDD3CA" w14:textId="77777777" w:rsidR="00911C8B" w:rsidRPr="00220635" w:rsidRDefault="00911C8B" w:rsidP="00911C8B">
      <w:pPr>
        <w:pStyle w:val="BulletMedicine"/>
      </w:pPr>
      <w:r w:rsidRPr="00220635">
        <w:t>Levonorgestrel 1.5 mg, oral</w:t>
      </w:r>
      <w:r w:rsidRPr="00220635">
        <w:fldChar w:fldCharType="begin"/>
      </w:r>
      <w:r w:rsidRPr="00220635">
        <w:instrText xml:space="preserve"> XE "Levonorgestrel 1.5 mg, oral" \f "m" </w:instrText>
      </w:r>
      <w:r w:rsidRPr="00220635">
        <w:fldChar w:fldCharType="end"/>
      </w:r>
      <w:r w:rsidRPr="00220635">
        <w:t xml:space="preserve">, as a single dose as soon as possible after </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tblGrid>
      <w:tr w:rsidR="00911C8B" w:rsidRPr="003F3B99" w14:paraId="385EAAE1" w14:textId="77777777" w:rsidTr="003A52C9">
        <w:tc>
          <w:tcPr>
            <w:tcW w:w="1134" w:type="dxa"/>
            <w:shd w:val="clear" w:color="auto" w:fill="auto"/>
          </w:tcPr>
          <w:p w14:paraId="4CE2EB03" w14:textId="77777777" w:rsidR="00911C8B" w:rsidRPr="003F3B99" w:rsidRDefault="00911C8B" w:rsidP="00911C8B">
            <w:pPr>
              <w:spacing w:before="0" w:after="0"/>
              <w:jc w:val="right"/>
              <w:rPr>
                <w:i/>
                <w:sz w:val="16"/>
              </w:rPr>
            </w:pPr>
            <w:proofErr w:type="spellStart"/>
            <w:r w:rsidRPr="003F3B99">
              <w:rPr>
                <w:i/>
                <w:sz w:val="16"/>
              </w:rPr>
              <w:t>LoE:I</w:t>
            </w:r>
            <w:r>
              <w:rPr>
                <w:i/>
                <w:sz w:val="16"/>
              </w:rPr>
              <w:t>a</w:t>
            </w:r>
            <w:proofErr w:type="spellEnd"/>
            <w:r w:rsidRPr="003F3B99">
              <w:rPr>
                <w:rStyle w:val="EndnoteReference"/>
                <w:i/>
                <w:sz w:val="16"/>
                <w:szCs w:val="18"/>
              </w:rPr>
              <w:endnoteReference w:id="25"/>
            </w:r>
          </w:p>
        </w:tc>
      </w:tr>
    </w:tbl>
    <w:p w14:paraId="22CE5CF2" w14:textId="77777777" w:rsidR="00911C8B" w:rsidRPr="00220635" w:rsidRDefault="00911C8B" w:rsidP="00911C8B">
      <w:pPr>
        <w:pStyle w:val="BulletMedicine"/>
      </w:pPr>
      <w:r w:rsidRPr="00220635">
        <w:t>unprotected intercourse, and not later than 5 days.</w:t>
      </w:r>
    </w:p>
    <w:p w14:paraId="61D07645" w14:textId="5A8C10C1" w:rsidR="00911C8B" w:rsidRPr="00220635" w:rsidRDefault="00911C8B" w:rsidP="00911C8B">
      <w:pPr>
        <w:pStyle w:val="BulletDirectionsInstructions"/>
      </w:pPr>
      <w:r>
        <w:t>I</w:t>
      </w:r>
      <w:r w:rsidRPr="00220635">
        <w:t xml:space="preserve">f </w:t>
      </w:r>
      <w:r>
        <w:t>the client</w:t>
      </w:r>
      <w:r w:rsidRPr="00220635">
        <w:t xml:space="preserve"> vomits within 2 hours</w:t>
      </w:r>
      <w:r>
        <w:t>, repeat the dose</w:t>
      </w:r>
      <w:r w:rsidRPr="00220635">
        <w:t>.</w:t>
      </w:r>
    </w:p>
    <w:p w14:paraId="1556246A" w14:textId="0F154486" w:rsidR="00911C8B" w:rsidRPr="00220635" w:rsidRDefault="00911C8B" w:rsidP="00911C8B">
      <w:r>
        <w:t>Advise w</w:t>
      </w:r>
      <w:r w:rsidRPr="00220635">
        <w:t>omen that their period should be on time</w:t>
      </w:r>
      <w:r>
        <w:t xml:space="preserve">; </w:t>
      </w:r>
      <w:r w:rsidRPr="00220635">
        <w:t xml:space="preserve">very rarely </w:t>
      </w:r>
      <w:r>
        <w:t>is it</w:t>
      </w:r>
      <w:r w:rsidRPr="00220635">
        <w:t xml:space="preserve"> delayed but it </w:t>
      </w:r>
      <w:r>
        <w:t>should</w:t>
      </w:r>
      <w:r w:rsidRPr="00220635">
        <w:t xml:space="preserve"> not be more than 7 days late. If this occurs, they should come back for a pregnancy test.</w:t>
      </w:r>
    </w:p>
    <w:tbl>
      <w:tblPr>
        <w:tblW w:w="5000" w:type="pct"/>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left w:w="120" w:type="dxa"/>
          <w:right w:w="120" w:type="dxa"/>
        </w:tblCellMar>
        <w:tblLook w:val="0000" w:firstRow="0" w:lastRow="0" w:firstColumn="0" w:lastColumn="0" w:noHBand="0" w:noVBand="0"/>
      </w:tblPr>
      <w:tblGrid>
        <w:gridCol w:w="6643"/>
      </w:tblGrid>
      <w:tr w:rsidR="00911C8B" w:rsidRPr="00220635" w14:paraId="5F5F988C" w14:textId="77777777" w:rsidTr="003A52C9">
        <w:trPr>
          <w:trHeight w:val="159"/>
          <w:jc w:val="center"/>
        </w:trPr>
        <w:tc>
          <w:tcPr>
            <w:tcW w:w="5000" w:type="pct"/>
          </w:tcPr>
          <w:p w14:paraId="24BFA6D7" w14:textId="77777777" w:rsidR="00911C8B" w:rsidRPr="00220635" w:rsidRDefault="00911C8B" w:rsidP="003A52C9">
            <w:pPr>
              <w:pStyle w:val="TableText"/>
              <w:jc w:val="center"/>
              <w:rPr>
                <w:rStyle w:val="Strong"/>
              </w:rPr>
            </w:pPr>
            <w:r w:rsidRPr="00220635">
              <w:rPr>
                <w:rStyle w:val="Strong"/>
              </w:rPr>
              <w:t>CAUTION</w:t>
            </w:r>
          </w:p>
          <w:p w14:paraId="67703FA6" w14:textId="77777777" w:rsidR="00911C8B" w:rsidRPr="0074237F" w:rsidRDefault="00911C8B" w:rsidP="003A52C9">
            <w:pPr>
              <w:pStyle w:val="TableText"/>
              <w:jc w:val="center"/>
              <w:rPr>
                <w:spacing w:val="0"/>
              </w:rPr>
            </w:pPr>
            <w:r w:rsidRPr="0074237F">
              <w:rPr>
                <w:spacing w:val="0"/>
              </w:rPr>
              <w:t>Emergency contraceptive tablets must be taken as soon as possible, preferably within 72 hours of unprotected intercourse, and not later than 5 days.</w:t>
            </w:r>
          </w:p>
          <w:p w14:paraId="2AE74502" w14:textId="77163B86" w:rsidR="00911C8B" w:rsidRDefault="00911C8B" w:rsidP="003A52C9">
            <w:pPr>
              <w:pStyle w:val="TableText"/>
              <w:jc w:val="center"/>
              <w:rPr>
                <w:spacing w:val="0"/>
              </w:rPr>
            </w:pPr>
            <w:r w:rsidRPr="0074237F">
              <w:rPr>
                <w:spacing w:val="0"/>
              </w:rPr>
              <w:t xml:space="preserve">Enzyme inducers (including efavirenz and carbamazepine) cause a significant reduction in levonorgestrel concentrations. Women on these medicines should preferably have copper IUCD inserted </w:t>
            </w:r>
            <w:r w:rsidRPr="00464ED9">
              <w:rPr>
                <w:b/>
                <w:i/>
                <w:iCs/>
                <w:spacing w:val="0"/>
              </w:rPr>
              <w:t>or</w:t>
            </w:r>
            <w:r w:rsidRPr="0096565C">
              <w:rPr>
                <w:b/>
                <w:spacing w:val="0"/>
              </w:rPr>
              <w:t xml:space="preserve"> </w:t>
            </w:r>
            <w:r w:rsidRPr="0074237F">
              <w:rPr>
                <w:spacing w:val="0"/>
              </w:rPr>
              <w:t xml:space="preserve">alternatively double the dose of levonorgestrel. </w:t>
            </w:r>
          </w:p>
          <w:p w14:paraId="054F23F0" w14:textId="77777777" w:rsidR="00911C8B" w:rsidRPr="0074237F" w:rsidRDefault="00911C8B" w:rsidP="003A52C9">
            <w:pPr>
              <w:pStyle w:val="TableText"/>
              <w:jc w:val="center"/>
              <w:rPr>
                <w:spacing w:val="0"/>
              </w:rPr>
            </w:pPr>
            <w:r w:rsidRPr="0074237F">
              <w:rPr>
                <w:spacing w:val="0"/>
              </w:rPr>
              <w:t xml:space="preserve">Women &gt; 80 kg or BMI ≥ 30 should also preferably have copper IUCD inserted </w:t>
            </w:r>
            <w:r w:rsidRPr="00464ED9">
              <w:rPr>
                <w:b/>
                <w:i/>
                <w:iCs/>
                <w:spacing w:val="0"/>
              </w:rPr>
              <w:t>or</w:t>
            </w:r>
            <w:r w:rsidRPr="0074237F">
              <w:rPr>
                <w:spacing w:val="0"/>
              </w:rPr>
              <w:t xml:space="preserve"> alternatively double the dose of </w:t>
            </w:r>
            <w:r>
              <w:rPr>
                <w:spacing w:val="0"/>
              </w:rPr>
              <w:t>levonorgestrel.</w:t>
            </w:r>
          </w:p>
          <w:tbl>
            <w:tblPr>
              <w:tblpPr w:leftFromText="180" w:rightFromText="180" w:vertAnchor="text" w:horzAnchor="margin" w:tblpXSpec="right" w:tblpY="-22"/>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911C8B" w:rsidRPr="00911C8B" w14:paraId="6B2BDB5E" w14:textId="77777777" w:rsidTr="003A52C9">
              <w:tc>
                <w:tcPr>
                  <w:tcW w:w="907" w:type="dxa"/>
                  <w:shd w:val="clear" w:color="auto" w:fill="FFFFFF" w:themeFill="background1"/>
                </w:tcPr>
                <w:p w14:paraId="4822693B" w14:textId="77777777" w:rsidR="00911C8B" w:rsidRPr="00911C8B" w:rsidRDefault="00911C8B" w:rsidP="003A52C9">
                  <w:pPr>
                    <w:pStyle w:val="LoEText"/>
                    <w:framePr w:hSpace="0" w:wrap="auto" w:vAnchor="margin" w:hAnchor="text" w:xAlign="left" w:yAlign="inline"/>
                    <w:suppressOverlap w:val="0"/>
                    <w:rPr>
                      <w:sz w:val="14"/>
                    </w:rPr>
                  </w:pPr>
                  <w:proofErr w:type="spellStart"/>
                  <w:r w:rsidRPr="00911C8B">
                    <w:rPr>
                      <w:sz w:val="14"/>
                    </w:rPr>
                    <w:t>LoE:IIIb</w:t>
                  </w:r>
                  <w:proofErr w:type="spellEnd"/>
                  <w:r w:rsidRPr="00911C8B">
                    <w:rPr>
                      <w:rStyle w:val="EndnoteReference8"/>
                      <w:sz w:val="14"/>
                    </w:rPr>
                    <w:endnoteReference w:id="26"/>
                  </w:r>
                </w:p>
              </w:tc>
            </w:tr>
          </w:tbl>
          <w:p w14:paraId="0C8B8450" w14:textId="77777777" w:rsidR="00911C8B" w:rsidRPr="00220635" w:rsidRDefault="00911C8B" w:rsidP="003A52C9">
            <w:pPr>
              <w:pStyle w:val="TableText"/>
            </w:pPr>
          </w:p>
        </w:tc>
      </w:tr>
    </w:tbl>
    <w:p w14:paraId="45D55DFE" w14:textId="77777777" w:rsidR="00CE4531" w:rsidRPr="00220635" w:rsidRDefault="00CE4531" w:rsidP="004A4BF6">
      <w:pPr>
        <w:pStyle w:val="Heading5"/>
      </w:pPr>
      <w:r w:rsidRPr="00220635">
        <w:t>REFERRAL</w:t>
      </w:r>
    </w:p>
    <w:p w14:paraId="2583C001" w14:textId="62A7CB11" w:rsidR="00CE4531" w:rsidRPr="00220635" w:rsidRDefault="005174F0" w:rsidP="00CE4531">
      <w:pPr>
        <w:pStyle w:val="NoSpacing"/>
      </w:pPr>
      <w:r>
        <w:t>Women</w:t>
      </w:r>
      <w:r w:rsidRPr="00220635">
        <w:t xml:space="preserve"> </w:t>
      </w:r>
      <w:r w:rsidR="00CE4531" w:rsidRPr="00220635">
        <w:t>in need of emergency contraception must be referred for HIV counselling and testing and PEP.</w:t>
      </w:r>
    </w:p>
    <w:p w14:paraId="4A699AF6" w14:textId="77777777" w:rsidR="00CE4531" w:rsidRPr="00220635" w:rsidRDefault="00CE4531" w:rsidP="00CE4531">
      <w:pPr>
        <w:pStyle w:val="NoSpacing"/>
      </w:pPr>
    </w:p>
    <w:p w14:paraId="506ABCD6" w14:textId="77777777" w:rsidR="00CE4531" w:rsidRPr="00220635" w:rsidRDefault="00CE4531" w:rsidP="00D92449">
      <w:pPr>
        <w:pStyle w:val="Heading2"/>
      </w:pPr>
      <w:bookmarkStart w:id="12" w:name="_Toc66085701"/>
      <w:r w:rsidRPr="00220635">
        <w:t>V</w:t>
      </w:r>
      <w:r w:rsidR="00D92449" w:rsidRPr="00220635">
        <w:t>oluntary sterilisation, male and female</w:t>
      </w:r>
      <w:bookmarkEnd w:id="12"/>
      <w:r w:rsidR="00E30FA8" w:rsidRPr="00220635">
        <w:fldChar w:fldCharType="begin"/>
      </w:r>
      <w:r w:rsidR="00E30FA8" w:rsidRPr="00220635">
        <w:instrText xml:space="preserve"> XE "Voluntary sterilisation, male and female" \f “c”</w:instrText>
      </w:r>
      <w:r w:rsidR="00E30FA8" w:rsidRPr="00220635">
        <w:fldChar w:fldCharType="end"/>
      </w:r>
    </w:p>
    <w:p w14:paraId="29DB460B" w14:textId="77777777" w:rsidR="00CE4531" w:rsidRPr="00220635" w:rsidRDefault="00CE4531" w:rsidP="00D92449">
      <w:pPr>
        <w:pStyle w:val="ICD10"/>
      </w:pPr>
      <w:r w:rsidRPr="00220635">
        <w:t>Z30.2</w:t>
      </w:r>
    </w:p>
    <w:p w14:paraId="5C1AE7D7" w14:textId="77777777" w:rsidR="00CE4531" w:rsidRPr="00220635" w:rsidRDefault="00CE4531" w:rsidP="00AB1693">
      <w:pPr>
        <w:pStyle w:val="Heading6"/>
      </w:pPr>
      <w:r w:rsidRPr="00220635">
        <w:t>Female sterilisation</w:t>
      </w:r>
    </w:p>
    <w:p w14:paraId="0F3D06C3" w14:textId="77777777" w:rsidR="00CE4531" w:rsidRPr="00220635" w:rsidRDefault="00CE4531" w:rsidP="00CE4531">
      <w:pPr>
        <w:pStyle w:val="NoSpacing"/>
      </w:pPr>
      <w:r w:rsidRPr="00220635">
        <w:t>Also known as tubal occlusion or tubal ligation. This is a permanent, surgical contraceptive method for women who do not intend to have more children.</w:t>
      </w:r>
    </w:p>
    <w:p w14:paraId="333930A5" w14:textId="77777777" w:rsidR="00CE4531" w:rsidRPr="00220635" w:rsidRDefault="00CE4531" w:rsidP="00CE4531">
      <w:pPr>
        <w:pStyle w:val="NoSpacing"/>
      </w:pPr>
      <w:r w:rsidRPr="00220635">
        <w:t>Women who opt for sterilisation should be adequately counselled and referred.</w:t>
      </w:r>
    </w:p>
    <w:p w14:paraId="340C008F" w14:textId="77777777" w:rsidR="00CE4531" w:rsidRPr="00220635" w:rsidRDefault="00CE4531" w:rsidP="00AB1693">
      <w:pPr>
        <w:pStyle w:val="Heading6"/>
      </w:pPr>
      <w:r w:rsidRPr="00220635">
        <w:lastRenderedPageBreak/>
        <w:t>Male sterilisation</w:t>
      </w:r>
    </w:p>
    <w:p w14:paraId="4B7E46E4" w14:textId="5A2646BB" w:rsidR="00CE4531" w:rsidRPr="00220635" w:rsidRDefault="00CE4531" w:rsidP="00CE4531">
      <w:pPr>
        <w:pStyle w:val="NoSpacing"/>
      </w:pPr>
      <w:r w:rsidRPr="00220635">
        <w:t xml:space="preserve">Also known as vasectomy. This is a permanent surgical contraceptive method for men who do not </w:t>
      </w:r>
      <w:r w:rsidR="00944F48">
        <w:t xml:space="preserve">intend to have </w:t>
      </w:r>
      <w:r w:rsidR="00EF4D39">
        <w:t>more children</w:t>
      </w:r>
      <w:r w:rsidRPr="00220635">
        <w:t>.</w:t>
      </w:r>
    </w:p>
    <w:p w14:paraId="4672639B" w14:textId="77777777" w:rsidR="00CE4531" w:rsidRPr="00220635" w:rsidRDefault="00CE4531" w:rsidP="00CE4531">
      <w:pPr>
        <w:pStyle w:val="NoSpacing"/>
      </w:pPr>
      <w:r w:rsidRPr="00220635">
        <w:t>Men who opt for this method should be adequately counselled and referred.</w:t>
      </w:r>
    </w:p>
    <w:tbl>
      <w:tblPr>
        <w:tblpPr w:leftFromText="180" w:rightFromText="180" w:vertAnchor="text" w:horzAnchor="margin" w:tblpXSpec="right" w:tblpY="1075"/>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0D241B" w:rsidRPr="00220635" w14:paraId="73A4B01C" w14:textId="77777777" w:rsidTr="000D241B">
        <w:tc>
          <w:tcPr>
            <w:tcW w:w="907" w:type="dxa"/>
            <w:shd w:val="clear" w:color="auto" w:fill="FFFFFF" w:themeFill="background1"/>
          </w:tcPr>
          <w:p w14:paraId="2D6415CA" w14:textId="6403318F" w:rsidR="000D241B" w:rsidRPr="00220635" w:rsidRDefault="000D241B" w:rsidP="000D241B">
            <w:pPr>
              <w:pStyle w:val="LoEText"/>
              <w:framePr w:hSpace="0" w:wrap="auto" w:vAnchor="margin" w:hAnchor="text" w:xAlign="left" w:yAlign="inline"/>
              <w:suppressOverlap w:val="0"/>
            </w:pPr>
            <w:proofErr w:type="spellStart"/>
            <w:r w:rsidRPr="00220635">
              <w:t>LoE:III</w:t>
            </w:r>
            <w:r w:rsidR="005E2C52">
              <w:t>b</w:t>
            </w:r>
            <w:proofErr w:type="spellEnd"/>
            <w:r w:rsidRPr="00220635">
              <w:rPr>
                <w:rStyle w:val="EndnoteReference8"/>
              </w:rPr>
              <w:endnoteReference w:id="27"/>
            </w:r>
          </w:p>
        </w:tc>
      </w:tr>
    </w:tbl>
    <w:p w14:paraId="10051830" w14:textId="77777777" w:rsidR="00CE4531" w:rsidRPr="00220635" w:rsidRDefault="00AB1693" w:rsidP="00AB1693">
      <w:pPr>
        <w:pStyle w:val="Centeredbox"/>
      </w:pPr>
      <w:r w:rsidRPr="00220635">
        <w:rPr>
          <w:rStyle w:val="Strong"/>
        </w:rPr>
        <w:t>CAUTION</w:t>
      </w:r>
      <w:r w:rsidR="000D241B" w:rsidRPr="00220635">
        <w:br/>
      </w:r>
      <w:r w:rsidRPr="00220635">
        <w:t>Sterilisation does not protect against sexually transmitted infections (STIs), including HIV. If there is a risk of STI/HIV, the correct and consistent use of condoms is recommended.</w:t>
      </w:r>
    </w:p>
    <w:p w14:paraId="2E7DA036" w14:textId="77777777" w:rsidR="00CE4531" w:rsidRPr="00220635" w:rsidRDefault="00CE4531" w:rsidP="00CE4531">
      <w:pPr>
        <w:pStyle w:val="NoSpacing"/>
      </w:pPr>
    </w:p>
    <w:p w14:paraId="247808FE" w14:textId="77777777" w:rsidR="0076573D" w:rsidRPr="00220635" w:rsidRDefault="0076573D" w:rsidP="00CE4531">
      <w:pPr>
        <w:pStyle w:val="NoSpacing"/>
      </w:pPr>
    </w:p>
    <w:p w14:paraId="2BFDB5CB" w14:textId="77777777" w:rsidR="00CE4531" w:rsidRPr="00220635" w:rsidRDefault="00D92449" w:rsidP="004671A4">
      <w:pPr>
        <w:pStyle w:val="Heading2"/>
        <w:spacing w:before="0"/>
      </w:pPr>
      <w:bookmarkStart w:id="13" w:name="_Toc66085702"/>
      <w:r w:rsidRPr="00220635">
        <w:t>Breakthrough bleeding with</w:t>
      </w:r>
      <w:r w:rsidR="00CE4531" w:rsidRPr="00220635">
        <w:t xml:space="preserve"> </w:t>
      </w:r>
      <w:r w:rsidRPr="00220635">
        <w:t>contraceptive use</w:t>
      </w:r>
      <w:bookmarkEnd w:id="13"/>
      <w:r w:rsidR="00E30FA8" w:rsidRPr="00220635">
        <w:fldChar w:fldCharType="begin"/>
      </w:r>
      <w:r w:rsidR="00E30FA8" w:rsidRPr="00220635">
        <w:instrText xml:space="preserve"> XE "Breakthrough bleeding with contraceptive use" \f “c”</w:instrText>
      </w:r>
      <w:r w:rsidR="00E30FA8" w:rsidRPr="00220635">
        <w:fldChar w:fldCharType="end"/>
      </w:r>
    </w:p>
    <w:p w14:paraId="3F33E518" w14:textId="77777777" w:rsidR="00CE4531" w:rsidRPr="00220635" w:rsidRDefault="00CE4531" w:rsidP="00D92449">
      <w:pPr>
        <w:pStyle w:val="ICD10"/>
      </w:pPr>
      <w:r w:rsidRPr="00220635">
        <w:t>N92.0/N92.1/N92.4</w:t>
      </w:r>
    </w:p>
    <w:p w14:paraId="44E893F9" w14:textId="77777777" w:rsidR="00CE4531" w:rsidRPr="00220635" w:rsidRDefault="00CE4531" w:rsidP="000D241B">
      <w:pPr>
        <w:pStyle w:val="Heading5"/>
      </w:pPr>
      <w:r w:rsidRPr="00220635">
        <w:t>DESCRIPTION</w:t>
      </w:r>
    </w:p>
    <w:p w14:paraId="29819186" w14:textId="1CDD9149" w:rsidR="00CE4531" w:rsidRPr="00220635" w:rsidRDefault="00CE4531" w:rsidP="00CE4531">
      <w:pPr>
        <w:pStyle w:val="NoSpacing"/>
      </w:pPr>
      <w:r w:rsidRPr="00220635">
        <w:t>Breakthrough bleeding refers to unscheduled or irregular vaginal bleeding</w:t>
      </w:r>
      <w:r w:rsidR="00DE18B3">
        <w:t>,</w:t>
      </w:r>
      <w:r w:rsidRPr="00220635">
        <w:t xml:space="preserve"> which often presents as spotting, </w:t>
      </w:r>
      <w:r w:rsidR="00DE18B3">
        <w:t xml:space="preserve">or </w:t>
      </w:r>
      <w:r w:rsidRPr="00220635">
        <w:t xml:space="preserve">prolonged or frequent bleeding in women using hormonal contraception. The pattern and duration of these unscheduled bleedings vary with the contraceptive method used. </w:t>
      </w:r>
    </w:p>
    <w:p w14:paraId="6AB881E4" w14:textId="77777777" w:rsidR="00CE4531" w:rsidRPr="00220635" w:rsidRDefault="00CE4531" w:rsidP="000D241B">
      <w:pPr>
        <w:pStyle w:val="Heading5"/>
      </w:pPr>
      <w:r w:rsidRPr="00220635">
        <w:t>GENERAL MEASURES</w:t>
      </w:r>
    </w:p>
    <w:p w14:paraId="435BFB38" w14:textId="17B0AE01" w:rsidR="00CE4531" w:rsidRPr="00220635" w:rsidRDefault="00CE4531" w:rsidP="00CE4531">
      <w:pPr>
        <w:pStyle w:val="NoSpacing"/>
      </w:pPr>
      <w:r w:rsidRPr="00220635">
        <w:t xml:space="preserve"> </w:t>
      </w:r>
      <w:r w:rsidR="008646FC">
        <w:t>B</w:t>
      </w:r>
      <w:r w:rsidR="007A7A5F">
        <w:t>efore starting</w:t>
      </w:r>
      <w:r w:rsidRPr="00220635">
        <w:t xml:space="preserve"> hormonal contraception</w:t>
      </w:r>
      <w:r w:rsidR="00766275">
        <w:t>,</w:t>
      </w:r>
      <w:r w:rsidRPr="00220635">
        <w:t xml:space="preserve"> </w:t>
      </w:r>
      <w:r w:rsidR="00B62F39">
        <w:t xml:space="preserve">counsel women </w:t>
      </w:r>
      <w:r w:rsidRPr="00220635">
        <w:t xml:space="preserve">regarding possible bleeding patterns, both initially and in the longer term.  </w:t>
      </w:r>
    </w:p>
    <w:p w14:paraId="3AC162B2" w14:textId="77777777" w:rsidR="00CE4531" w:rsidRPr="00220635" w:rsidRDefault="00CE4531" w:rsidP="00AB219B">
      <w:r w:rsidRPr="00220635">
        <w:t xml:space="preserve">Clinical assessment: </w:t>
      </w:r>
    </w:p>
    <w:p w14:paraId="27F407DA" w14:textId="77777777" w:rsidR="00CE4531" w:rsidRPr="00220635" w:rsidRDefault="00CE4531" w:rsidP="00AB219B">
      <w:pPr>
        <w:pStyle w:val="ListParagraph"/>
      </w:pPr>
      <w:r w:rsidRPr="00220635">
        <w:t xml:space="preserve">Current method of contraception and duration of use. </w:t>
      </w:r>
    </w:p>
    <w:p w14:paraId="57DE1115" w14:textId="77777777" w:rsidR="00CE4531" w:rsidRPr="00220635" w:rsidRDefault="00CE4531" w:rsidP="00AB219B">
      <w:pPr>
        <w:pStyle w:val="ListParagraph"/>
      </w:pPr>
      <w:r w:rsidRPr="00220635">
        <w:t>Drug interactions.</w:t>
      </w:r>
    </w:p>
    <w:p w14:paraId="7D423921" w14:textId="77777777" w:rsidR="00CE4531" w:rsidRPr="00220635" w:rsidRDefault="00CE4531" w:rsidP="00AB219B">
      <w:pPr>
        <w:pStyle w:val="ListParagraph"/>
      </w:pPr>
      <w:r w:rsidRPr="00220635">
        <w:t xml:space="preserve">Cervical screening history. </w:t>
      </w:r>
    </w:p>
    <w:p w14:paraId="70969368" w14:textId="77777777" w:rsidR="00CE4531" w:rsidRPr="00220635" w:rsidRDefault="00CE4531" w:rsidP="00AB219B">
      <w:pPr>
        <w:pStyle w:val="ListParagraph"/>
      </w:pPr>
      <w:r w:rsidRPr="00220635">
        <w:t>Risk of sexual transmitted infections (e.g. Chlamydia trachomatis).</w:t>
      </w:r>
    </w:p>
    <w:p w14:paraId="5BA1F6B0" w14:textId="77777777" w:rsidR="00CE4531" w:rsidRPr="00220635" w:rsidRDefault="00CE4531" w:rsidP="00AB219B">
      <w:pPr>
        <w:pStyle w:val="ListParagraph"/>
      </w:pPr>
      <w:r w:rsidRPr="00220635">
        <w:t>Menstrual and break though bleeding history prior to current method being initiated.</w:t>
      </w:r>
    </w:p>
    <w:p w14:paraId="6F81AC28" w14:textId="4B9E14DC" w:rsidR="00223E3F" w:rsidRDefault="00CE4531" w:rsidP="000D241B">
      <w:pPr>
        <w:pStyle w:val="ListParagraph"/>
      </w:pPr>
      <w:r w:rsidRPr="00220635">
        <w:t>Exclude pregnancy.</w:t>
      </w:r>
    </w:p>
    <w:p w14:paraId="0A931C6F" w14:textId="77777777" w:rsidR="0077129E" w:rsidRPr="00220635" w:rsidRDefault="0077129E" w:rsidP="0077129E">
      <w:pPr>
        <w:pStyle w:val="ListParagraph"/>
        <w:numPr>
          <w:ilvl w:val="0"/>
          <w:numId w:val="0"/>
        </w:numPr>
        <w:ind w:left="284"/>
      </w:pPr>
    </w:p>
    <w:tbl>
      <w:tblPr>
        <w:tblStyle w:val="SamplePHCTable"/>
        <w:tblW w:w="5000" w:type="pct"/>
        <w:tblLook w:val="04A0" w:firstRow="1" w:lastRow="0" w:firstColumn="1" w:lastColumn="0" w:noHBand="0" w:noVBand="1"/>
      </w:tblPr>
      <w:tblGrid>
        <w:gridCol w:w="3114"/>
        <w:gridCol w:w="3565"/>
      </w:tblGrid>
      <w:tr w:rsidR="00CE4531" w:rsidRPr="00220635" w14:paraId="674D5331" w14:textId="77777777" w:rsidTr="00EE0411">
        <w:trPr>
          <w:cnfStyle w:val="100000000000" w:firstRow="1" w:lastRow="0" w:firstColumn="0" w:lastColumn="0" w:oddVBand="0" w:evenVBand="0" w:oddHBand="0" w:evenHBand="0" w:firstRowFirstColumn="0" w:firstRowLastColumn="0" w:lastRowFirstColumn="0" w:lastRowLastColumn="0"/>
        </w:trPr>
        <w:tc>
          <w:tcPr>
            <w:tcW w:w="2331" w:type="pct"/>
          </w:tcPr>
          <w:p w14:paraId="3068A162" w14:textId="77777777" w:rsidR="00CE4531" w:rsidRPr="00220635" w:rsidRDefault="00CE4531" w:rsidP="003A6D36">
            <w:pPr>
              <w:pStyle w:val="NoSpacing"/>
              <w:jc w:val="center"/>
            </w:pPr>
            <w:r w:rsidRPr="00220635">
              <w:t>Hormonal contraceptives causing breakthrough bleeding</w:t>
            </w:r>
          </w:p>
        </w:tc>
        <w:tc>
          <w:tcPr>
            <w:tcW w:w="2669" w:type="pct"/>
          </w:tcPr>
          <w:p w14:paraId="3903F150" w14:textId="77777777" w:rsidR="00CE4531" w:rsidRPr="00220635" w:rsidRDefault="00CE4531" w:rsidP="003A6D36">
            <w:pPr>
              <w:pStyle w:val="NoSpacing"/>
              <w:jc w:val="center"/>
            </w:pPr>
            <w:r w:rsidRPr="00220635">
              <w:t>Treatment</w:t>
            </w:r>
          </w:p>
        </w:tc>
      </w:tr>
      <w:tr w:rsidR="00CE4531" w:rsidRPr="00220635" w14:paraId="677D176F" w14:textId="77777777" w:rsidTr="00EE0411">
        <w:tc>
          <w:tcPr>
            <w:tcW w:w="2331" w:type="pct"/>
          </w:tcPr>
          <w:p w14:paraId="1C7D636F" w14:textId="77777777" w:rsidR="00CE4531" w:rsidRPr="00220635" w:rsidRDefault="00CE4531" w:rsidP="00F70525">
            <w:pPr>
              <w:pStyle w:val="NoSpacing"/>
            </w:pPr>
            <w:r w:rsidRPr="00220635">
              <w:t>Progestin-only injectables</w:t>
            </w:r>
          </w:p>
        </w:tc>
        <w:tc>
          <w:tcPr>
            <w:tcW w:w="2669" w:type="pct"/>
          </w:tcPr>
          <w:p w14:paraId="115C4AA1" w14:textId="77777777" w:rsidR="00CE4531" w:rsidRPr="00220635" w:rsidRDefault="00CE4531" w:rsidP="00EE0411">
            <w:pPr>
              <w:pStyle w:val="BulletMedicine"/>
            </w:pPr>
            <w:r w:rsidRPr="00220635">
              <w:t xml:space="preserve">COC containing 30 mcg </w:t>
            </w:r>
            <w:proofErr w:type="spellStart"/>
            <w:r w:rsidRPr="00220635">
              <w:t>ethinylestradiol</w:t>
            </w:r>
            <w:proofErr w:type="spellEnd"/>
            <w:r w:rsidRPr="00220635">
              <w:t>, oral, for 14 days.</w:t>
            </w:r>
          </w:p>
          <w:tbl>
            <w:tblPr>
              <w:tblpPr w:leftFromText="180" w:rightFromText="180" w:vertAnchor="text" w:tblpXSpec="righ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CE4531" w:rsidRPr="00220635" w14:paraId="6BF93400" w14:textId="77777777" w:rsidTr="00595EA8">
              <w:tc>
                <w:tcPr>
                  <w:tcW w:w="907" w:type="dxa"/>
                  <w:shd w:val="clear" w:color="auto" w:fill="FFFFFF" w:themeFill="background1"/>
                </w:tcPr>
                <w:p w14:paraId="1CA7C9E6" w14:textId="31369390" w:rsidR="00CE4531" w:rsidRPr="00220635" w:rsidRDefault="00CE4531" w:rsidP="003A6D36">
                  <w:pPr>
                    <w:pStyle w:val="LoEText"/>
                    <w:framePr w:hSpace="0" w:wrap="auto" w:vAnchor="margin" w:hAnchor="text" w:xAlign="left" w:yAlign="inline"/>
                    <w:suppressOverlap w:val="0"/>
                  </w:pPr>
                  <w:proofErr w:type="spellStart"/>
                  <w:r w:rsidRPr="00220635">
                    <w:t>LoE:III</w:t>
                  </w:r>
                  <w:r w:rsidR="007C4B43">
                    <w:t>b</w:t>
                  </w:r>
                  <w:proofErr w:type="spellEnd"/>
                  <w:r w:rsidRPr="00220635">
                    <w:rPr>
                      <w:rStyle w:val="EndnoteReference8"/>
                    </w:rPr>
                    <w:endnoteReference w:id="28"/>
                  </w:r>
                </w:p>
              </w:tc>
            </w:tr>
          </w:tbl>
          <w:p w14:paraId="524CCDB9" w14:textId="77777777" w:rsidR="00CE4531" w:rsidRPr="00220635" w:rsidRDefault="00CE4531" w:rsidP="00F70525">
            <w:pPr>
              <w:pStyle w:val="NoSpacing"/>
            </w:pPr>
          </w:p>
        </w:tc>
      </w:tr>
      <w:tr w:rsidR="00CE4531" w:rsidRPr="00220635" w14:paraId="003B76A9" w14:textId="77777777" w:rsidTr="00EE0411">
        <w:tc>
          <w:tcPr>
            <w:tcW w:w="2331" w:type="pct"/>
          </w:tcPr>
          <w:p w14:paraId="44F8E660" w14:textId="77777777" w:rsidR="00CE4531" w:rsidRPr="00220635" w:rsidRDefault="00CE4531" w:rsidP="00F70525">
            <w:pPr>
              <w:pStyle w:val="NoSpacing"/>
            </w:pPr>
            <w:r w:rsidRPr="00220635">
              <w:t xml:space="preserve">Progestin subdermal implants </w:t>
            </w:r>
          </w:p>
        </w:tc>
        <w:tc>
          <w:tcPr>
            <w:tcW w:w="2669" w:type="pct"/>
          </w:tcPr>
          <w:p w14:paraId="1BAABDAE" w14:textId="77777777" w:rsidR="00CE4531" w:rsidRPr="00220635" w:rsidRDefault="00CE4531" w:rsidP="00EE0411">
            <w:pPr>
              <w:pStyle w:val="BulletMedicine"/>
            </w:pPr>
            <w:proofErr w:type="spellStart"/>
            <w:r w:rsidRPr="00220635">
              <w:t>Ethinylestradiol</w:t>
            </w:r>
            <w:proofErr w:type="spellEnd"/>
            <w:r w:rsidRPr="00220635">
              <w:t>/levonorgestrel, oral, 30/150 mcg, daily for 20 days.</w:t>
            </w:r>
          </w:p>
        </w:tc>
      </w:tr>
      <w:tr w:rsidR="0076573D" w:rsidRPr="00220635" w14:paraId="47611B44" w14:textId="77777777" w:rsidTr="00EE0411">
        <w:tc>
          <w:tcPr>
            <w:tcW w:w="2331" w:type="pct"/>
          </w:tcPr>
          <w:p w14:paraId="0443D896" w14:textId="62BCE138" w:rsidR="0076573D" w:rsidRPr="00220635" w:rsidRDefault="0076573D" w:rsidP="004A5A14">
            <w:pPr>
              <w:pStyle w:val="NoSpacing"/>
            </w:pPr>
            <w:r w:rsidRPr="00220635">
              <w:t xml:space="preserve">Progestin intrauterine </w:t>
            </w:r>
            <w:r w:rsidR="004A5A14" w:rsidRPr="00220635">
              <w:t>devi</w:t>
            </w:r>
            <w:r w:rsidR="00436EE8">
              <w:t>c</w:t>
            </w:r>
            <w:r w:rsidR="004A5A14" w:rsidRPr="00220635">
              <w:t>es</w:t>
            </w:r>
          </w:p>
        </w:tc>
        <w:tc>
          <w:tcPr>
            <w:tcW w:w="2669" w:type="pct"/>
          </w:tcPr>
          <w:p w14:paraId="39D8A5E5" w14:textId="1BFA4ED5" w:rsidR="0076573D" w:rsidRPr="00220635" w:rsidRDefault="00CD24D3" w:rsidP="00CD24D3">
            <w:pPr>
              <w:pStyle w:val="BulletMedicine"/>
              <w:numPr>
                <w:ilvl w:val="0"/>
                <w:numId w:val="0"/>
              </w:numPr>
            </w:pPr>
            <w:r w:rsidRPr="00220635">
              <w:t>Refer – see Section 7.2.2.</w:t>
            </w:r>
          </w:p>
        </w:tc>
      </w:tr>
      <w:tr w:rsidR="00CE4531" w:rsidRPr="00220635" w14:paraId="5C4D8A69" w14:textId="77777777" w:rsidTr="00EE0411">
        <w:tc>
          <w:tcPr>
            <w:tcW w:w="2331" w:type="pct"/>
          </w:tcPr>
          <w:p w14:paraId="735FE7ED" w14:textId="77777777" w:rsidR="00CE4531" w:rsidRPr="00220635" w:rsidRDefault="00CE4531" w:rsidP="00F70525">
            <w:pPr>
              <w:pStyle w:val="NoSpacing"/>
            </w:pPr>
            <w:r w:rsidRPr="00220635">
              <w:t>Combined oral contraceptive pill</w:t>
            </w:r>
          </w:p>
          <w:p w14:paraId="41516256" w14:textId="77777777" w:rsidR="00CE4531" w:rsidRPr="00220635" w:rsidRDefault="00CE4531" w:rsidP="00595EA8">
            <w:pPr>
              <w:pStyle w:val="ListParagraph"/>
            </w:pPr>
            <w:r w:rsidRPr="00220635">
              <w:t xml:space="preserve">Unscheduled bleeding with COC usually settles with time. </w:t>
            </w:r>
          </w:p>
          <w:p w14:paraId="6A36652A" w14:textId="77777777" w:rsidR="00CE4531" w:rsidRPr="00220635" w:rsidRDefault="00CE4531" w:rsidP="00595EA8">
            <w:pPr>
              <w:pStyle w:val="ListParagraph"/>
            </w:pPr>
            <w:r w:rsidRPr="00220635">
              <w:t>Changing to another COC in the first 3 months is not recommended.</w:t>
            </w:r>
          </w:p>
        </w:tc>
        <w:tc>
          <w:tcPr>
            <w:tcW w:w="2669" w:type="pct"/>
          </w:tcPr>
          <w:p w14:paraId="43D3F9FD" w14:textId="1601B5E5" w:rsidR="00CE4531" w:rsidRPr="00220635" w:rsidRDefault="00CE4531" w:rsidP="00EE0411">
            <w:pPr>
              <w:pStyle w:val="BulletMedicine"/>
            </w:pPr>
            <w:r w:rsidRPr="00220635">
              <w:t>Change COC to a</w:t>
            </w:r>
            <w:r w:rsidR="005841A0">
              <w:t>nother</w:t>
            </w:r>
            <w:r w:rsidRPr="00220635">
              <w:t xml:space="preserve"> COC containing the lowest dose of </w:t>
            </w:r>
            <w:proofErr w:type="spellStart"/>
            <w:r w:rsidRPr="00220635">
              <w:t>ethinylestradiol</w:t>
            </w:r>
            <w:proofErr w:type="spellEnd"/>
            <w:r w:rsidRPr="00220635">
              <w:t>, oral, daily.</w:t>
            </w:r>
          </w:p>
          <w:p w14:paraId="362A30CF" w14:textId="77777777" w:rsidR="00CE4531" w:rsidRPr="00220635" w:rsidRDefault="00CE4531" w:rsidP="00F70525">
            <w:pPr>
              <w:pStyle w:val="NoSpacing"/>
              <w:rPr>
                <w:u w:val="single"/>
              </w:rPr>
            </w:pPr>
            <w:r w:rsidRPr="00220635">
              <w:rPr>
                <w:u w:val="single"/>
              </w:rPr>
              <w:t>If bleeding persists:</w:t>
            </w:r>
          </w:p>
          <w:p w14:paraId="0B9F3D22" w14:textId="77777777" w:rsidR="00CE4531" w:rsidRPr="00220635" w:rsidRDefault="00CE4531" w:rsidP="00EE0411">
            <w:pPr>
              <w:pStyle w:val="BulletMedicine"/>
            </w:pPr>
            <w:r w:rsidRPr="00220635">
              <w:t xml:space="preserve">Change COC to a COC containing 35 mcg </w:t>
            </w:r>
            <w:proofErr w:type="spellStart"/>
            <w:r w:rsidRPr="00220635">
              <w:t>ethinylestradiol</w:t>
            </w:r>
            <w:proofErr w:type="spellEnd"/>
            <w:r w:rsidRPr="00220635">
              <w:t>, oral, daily.</w:t>
            </w:r>
          </w:p>
          <w:tbl>
            <w:tblPr>
              <w:tblOverlap w:val="neve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907"/>
            </w:tblGrid>
            <w:tr w:rsidR="00CE4531" w:rsidRPr="00220635" w14:paraId="49FD21DB" w14:textId="77777777" w:rsidTr="00595EA8">
              <w:trPr>
                <w:jc w:val="right"/>
              </w:trPr>
              <w:tc>
                <w:tcPr>
                  <w:tcW w:w="907" w:type="dxa"/>
                  <w:shd w:val="clear" w:color="auto" w:fill="FFFFFF" w:themeFill="background1"/>
                </w:tcPr>
                <w:p w14:paraId="76F90336" w14:textId="79031A58" w:rsidR="00CE4531" w:rsidRPr="00220635" w:rsidRDefault="00CE4531" w:rsidP="003A6D36">
                  <w:pPr>
                    <w:pStyle w:val="LoEText"/>
                    <w:framePr w:hSpace="0" w:wrap="auto" w:vAnchor="margin" w:hAnchor="text" w:xAlign="left" w:yAlign="inline"/>
                    <w:suppressOverlap w:val="0"/>
                  </w:pPr>
                  <w:proofErr w:type="spellStart"/>
                  <w:r w:rsidRPr="00220635">
                    <w:t>LoE:I</w:t>
                  </w:r>
                  <w:r w:rsidR="0048246D" w:rsidRPr="00220635">
                    <w:t>V</w:t>
                  </w:r>
                  <w:r w:rsidR="005841A0">
                    <w:t>b</w:t>
                  </w:r>
                  <w:proofErr w:type="spellEnd"/>
                </w:p>
              </w:tc>
            </w:tr>
          </w:tbl>
          <w:p w14:paraId="0F08B67D" w14:textId="77777777" w:rsidR="00CE4531" w:rsidRPr="00220635" w:rsidRDefault="00CE4531" w:rsidP="00F70525">
            <w:pPr>
              <w:pStyle w:val="NoSpacing"/>
            </w:pPr>
          </w:p>
        </w:tc>
      </w:tr>
    </w:tbl>
    <w:p w14:paraId="25C3D668" w14:textId="77777777" w:rsidR="00CE4531" w:rsidRPr="00220635" w:rsidRDefault="00CE4531" w:rsidP="00EE0411">
      <w:pPr>
        <w:pStyle w:val="Heading5"/>
      </w:pPr>
      <w:r w:rsidRPr="00220635">
        <w:lastRenderedPageBreak/>
        <w:t>REFERRAL</w:t>
      </w:r>
    </w:p>
    <w:p w14:paraId="65051BB6" w14:textId="77777777" w:rsidR="00CE4531" w:rsidRPr="00220635" w:rsidRDefault="00CE4531" w:rsidP="00EE0411">
      <w:pPr>
        <w:pStyle w:val="ListParagraph"/>
      </w:pPr>
      <w:r w:rsidRPr="00220635">
        <w:t>Pelvic pain.</w:t>
      </w:r>
    </w:p>
    <w:p w14:paraId="1004FD58" w14:textId="77777777" w:rsidR="00CE4531" w:rsidRPr="00220635" w:rsidRDefault="00CE4531" w:rsidP="00EE0411">
      <w:pPr>
        <w:pStyle w:val="ListParagraph"/>
      </w:pPr>
      <w:r w:rsidRPr="00220635">
        <w:t>Pelvic mass.</w:t>
      </w:r>
    </w:p>
    <w:p w14:paraId="2A77E5D9" w14:textId="77777777" w:rsidR="00CE4531" w:rsidRPr="00220635" w:rsidRDefault="00CE4531" w:rsidP="00EE0411">
      <w:pPr>
        <w:pStyle w:val="ListParagraph"/>
      </w:pPr>
      <w:r w:rsidRPr="00220635">
        <w:t xml:space="preserve">Heavy bleeding. </w:t>
      </w:r>
    </w:p>
    <w:p w14:paraId="54B9773E" w14:textId="77777777" w:rsidR="00CE4531" w:rsidRPr="00220635" w:rsidRDefault="00CE4531" w:rsidP="00EE0411">
      <w:pPr>
        <w:pStyle w:val="ListParagraph"/>
      </w:pPr>
      <w:r w:rsidRPr="00220635">
        <w:t>Abnormal cervix on speculum examination (e.g. polyps).</w:t>
      </w:r>
    </w:p>
    <w:p w14:paraId="6A207550" w14:textId="77777777" w:rsidR="006C26B1" w:rsidRPr="00220635" w:rsidRDefault="00CE4531" w:rsidP="00EE0411">
      <w:pPr>
        <w:pStyle w:val="ListParagraph"/>
      </w:pPr>
      <w:r w:rsidRPr="00220635">
        <w:t>Bleeding not controlled by treatment above.</w:t>
      </w:r>
      <w:bookmarkEnd w:id="1"/>
    </w:p>
    <w:bookmarkEnd w:id="2"/>
    <w:p w14:paraId="7A417E90" w14:textId="77777777" w:rsidR="00E30FA8" w:rsidRPr="008F4CA0" w:rsidRDefault="00E30FA8" w:rsidP="00A53333"/>
    <w:sectPr w:rsidR="00E30FA8" w:rsidRPr="008F4CA0" w:rsidSect="000147C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8391" w:h="11906" w:code="11"/>
      <w:pgMar w:top="851" w:right="851" w:bottom="851" w:left="851" w:header="709" w:footer="709"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5BDC" w14:textId="77777777" w:rsidR="00A52B88" w:rsidRPr="006C0A38" w:rsidRDefault="00A52B88" w:rsidP="00AD1B9A">
      <w:pPr>
        <w:rPr>
          <w:b/>
          <w:bCs/>
          <w:sz w:val="12"/>
          <w:szCs w:val="12"/>
        </w:rPr>
      </w:pPr>
      <w:r w:rsidRPr="006C0A38">
        <w:rPr>
          <w:b/>
          <w:bCs/>
          <w:sz w:val="12"/>
          <w:szCs w:val="12"/>
        </w:rPr>
        <w:t>References:</w:t>
      </w:r>
    </w:p>
  </w:endnote>
  <w:endnote w:type="continuationSeparator" w:id="0">
    <w:p w14:paraId="1D5C1DBA" w14:textId="77777777" w:rsidR="00A52B88" w:rsidRPr="006C0A38" w:rsidRDefault="00A52B88" w:rsidP="006C0A38">
      <w:pPr>
        <w:pStyle w:val="Footer"/>
        <w:pBdr>
          <w:top w:val="none" w:sz="0" w:space="0" w:color="auto"/>
        </w:pBdr>
        <w:rPr>
          <w:sz w:val="12"/>
          <w:szCs w:val="12"/>
        </w:rPr>
      </w:pPr>
    </w:p>
  </w:endnote>
  <w:endnote w:type="continuationNotice" w:id="1">
    <w:p w14:paraId="3361E71D" w14:textId="77777777" w:rsidR="00A52B88" w:rsidRPr="006C0A38" w:rsidRDefault="00A52B88">
      <w:pPr>
        <w:spacing w:before="0" w:after="0"/>
        <w:rPr>
          <w:sz w:val="12"/>
          <w:szCs w:val="12"/>
        </w:rPr>
      </w:pPr>
    </w:p>
  </w:endnote>
  <w:endnote w:id="2">
    <w:p w14:paraId="76DBD04E" w14:textId="67407F56" w:rsidR="00457199" w:rsidRDefault="00457199" w:rsidP="006C4DD6">
      <w:pPr>
        <w:pStyle w:val="EndnoteText"/>
        <w:spacing w:before="0" w:after="0"/>
      </w:pPr>
      <w:r w:rsidRPr="00567EBC">
        <w:rPr>
          <w:rStyle w:val="EndnoteReference"/>
        </w:rPr>
        <w:endnoteRef/>
      </w:r>
      <w:r w:rsidRPr="00567EBC">
        <w:tab/>
      </w:r>
      <w:r>
        <w:t>Levonorgestrel IUD (advantages – immediate postpartum insertion)</w:t>
      </w:r>
      <w:r w:rsidRPr="00567EBC">
        <w:t xml:space="preserve">: </w:t>
      </w:r>
      <w:r w:rsidRPr="000E65B2">
        <w:t xml:space="preserve">Lopez LM, </w:t>
      </w:r>
      <w:proofErr w:type="spellStart"/>
      <w:r w:rsidRPr="000E65B2">
        <w:t>Bernholc</w:t>
      </w:r>
      <w:proofErr w:type="spellEnd"/>
      <w:r w:rsidRPr="000E65B2">
        <w:t xml:space="preserve"> A, Hubacher D, Stuart G, Van Vliet HA. Immediate postpartum insertion of intrauterine device for contraception. Cochrane Database </w:t>
      </w:r>
      <w:proofErr w:type="spellStart"/>
      <w:r w:rsidRPr="000E65B2">
        <w:t>Syst</w:t>
      </w:r>
      <w:proofErr w:type="spellEnd"/>
      <w:r w:rsidRPr="000E65B2">
        <w:t xml:space="preserve"> Rev. 2015 Jun 26;(6):CD003036. </w:t>
      </w:r>
      <w:hyperlink r:id="rId1" w:history="1">
        <w:r w:rsidRPr="009B5391">
          <w:rPr>
            <w:rStyle w:val="Hyperlink"/>
          </w:rPr>
          <w:t>https://pubmed.ncbi.nlm.nih.gov/26115018/</w:t>
        </w:r>
      </w:hyperlink>
      <w:r>
        <w:t xml:space="preserve"> </w:t>
      </w:r>
    </w:p>
    <w:p w14:paraId="0E258212" w14:textId="415FC063" w:rsidR="00457199" w:rsidRDefault="00457199" w:rsidP="006C4DD6">
      <w:pPr>
        <w:pStyle w:val="EndnoteText"/>
        <w:spacing w:before="0" w:after="0"/>
      </w:pPr>
      <w:r>
        <w:tab/>
        <w:t>Levonorgestrel IUD (advantages – immediate postpartum insertion)</w:t>
      </w:r>
      <w:r w:rsidRPr="00567EBC">
        <w:t>:</w:t>
      </w:r>
      <w:r>
        <w:t xml:space="preserve"> </w:t>
      </w:r>
      <w:r w:rsidRPr="000E65B2">
        <w:t xml:space="preserve">Abdelhakim AM, </w:t>
      </w:r>
      <w:proofErr w:type="spellStart"/>
      <w:r w:rsidRPr="000E65B2">
        <w:t>Sunoqrot</w:t>
      </w:r>
      <w:proofErr w:type="spellEnd"/>
      <w:r w:rsidRPr="000E65B2">
        <w:t xml:space="preserve"> M, Amin AH, et al. The effect of early vs. delayed postpartum insertion of the LNG-IUS on breastfeeding continuation: a systematic review and meta-analysis of randomised controlled trials. </w:t>
      </w:r>
      <w:proofErr w:type="spellStart"/>
      <w:r w:rsidRPr="000E65B2">
        <w:t>Eur</w:t>
      </w:r>
      <w:proofErr w:type="spellEnd"/>
      <w:r w:rsidRPr="000E65B2">
        <w:t xml:space="preserve"> J Contracept </w:t>
      </w:r>
      <w:proofErr w:type="spellStart"/>
      <w:r w:rsidRPr="000E65B2">
        <w:t>Reprod</w:t>
      </w:r>
      <w:proofErr w:type="spellEnd"/>
      <w:r w:rsidRPr="000E65B2">
        <w:t xml:space="preserve"> Health Care. 2019 Oct;24(5):327-336. </w:t>
      </w:r>
      <w:hyperlink r:id="rId2" w:history="1">
        <w:r w:rsidRPr="009B5391">
          <w:rPr>
            <w:rStyle w:val="Hyperlink"/>
          </w:rPr>
          <w:t>https://pubmed.ncbi.nlm.nih.gov/31517549/</w:t>
        </w:r>
      </w:hyperlink>
      <w:r>
        <w:t xml:space="preserve"> </w:t>
      </w:r>
    </w:p>
    <w:p w14:paraId="3053CC91" w14:textId="2E0D7AC4" w:rsidR="00457199" w:rsidRPr="00567EBC" w:rsidRDefault="00457199" w:rsidP="006C4DD6">
      <w:pPr>
        <w:pStyle w:val="EndnoteText"/>
        <w:spacing w:before="0" w:after="0"/>
      </w:pPr>
      <w:r>
        <w:tab/>
        <w:t>Levonorgestrel IUD (advantages – immediate postpartum insertion)</w:t>
      </w:r>
      <w:r w:rsidRPr="00567EBC">
        <w:t xml:space="preserve">: </w:t>
      </w:r>
      <w:r>
        <w:t xml:space="preserve">World Health Organization. Medical eligibility criteria for contraceptive use, Fifth edition (2015). </w:t>
      </w:r>
      <w:hyperlink r:id="rId3" w:history="1">
        <w:r w:rsidRPr="009B5391">
          <w:rPr>
            <w:rStyle w:val="Hyperlink"/>
          </w:rPr>
          <w:t>https://www.who.int/publications/i/item/9789241549158</w:t>
        </w:r>
      </w:hyperlink>
    </w:p>
  </w:endnote>
  <w:endnote w:id="3">
    <w:p w14:paraId="462C172B" w14:textId="45A74658" w:rsidR="00457199" w:rsidRDefault="00457199" w:rsidP="00AA5610">
      <w:pPr>
        <w:pStyle w:val="EndnoteText"/>
        <w:spacing w:before="0" w:after="0"/>
        <w:rPr>
          <w:rStyle w:val="Hyperlink"/>
        </w:rPr>
      </w:pPr>
      <w:r w:rsidRPr="00567EBC">
        <w:rPr>
          <w:rStyle w:val="EndnoteReference"/>
        </w:rPr>
        <w:endnoteRef/>
      </w:r>
      <w:r w:rsidRPr="00567EBC">
        <w:tab/>
      </w:r>
      <w:r>
        <w:t>Levonorgestrel IUD (advantages and disadvantages)</w:t>
      </w:r>
      <w:r w:rsidRPr="00567EBC">
        <w:t xml:space="preserve">: </w:t>
      </w:r>
      <w:r>
        <w:t>World Health Organization Department of Reproductive Health and Research (WHO/RHR) and Johns Hopkins Bloomberg School of Public Health/</w:t>
      </w:r>
      <w:proofErr w:type="spellStart"/>
      <w:r>
        <w:t>Center</w:t>
      </w:r>
      <w:proofErr w:type="spellEnd"/>
      <w:r>
        <w:t xml:space="preserve"> for Communication Programs (CCP), Knowledge for Health Project. Family Planning: A Global Handbook for Providers (2018 update). Baltimore and Geneva: CCP and WHO, 2018. </w:t>
      </w:r>
      <w:hyperlink r:id="rId4" w:history="1">
        <w:r w:rsidRPr="006445A6">
          <w:rPr>
            <w:rStyle w:val="Hyperlink"/>
          </w:rPr>
          <w:t>https://www.who.int/reproductivehealth/publications/fp-global-handbook/en/</w:t>
        </w:r>
      </w:hyperlink>
    </w:p>
    <w:p w14:paraId="641BDBDE" w14:textId="15FCAEE5" w:rsidR="00457199" w:rsidRPr="00567EBC" w:rsidRDefault="00457199" w:rsidP="00AA5610">
      <w:pPr>
        <w:pStyle w:val="EndnoteText"/>
        <w:spacing w:before="0" w:after="0"/>
      </w:pPr>
      <w:r w:rsidRPr="00D9657E">
        <w:tab/>
        <w:t>Levonorgestrel IUD (advantages and disadvantages):</w:t>
      </w:r>
      <w:r w:rsidRPr="000E65B2">
        <w:rPr>
          <w:rStyle w:val="Hyperlink"/>
          <w:u w:val="none"/>
        </w:rPr>
        <w:t xml:space="preserve"> </w:t>
      </w:r>
      <w:r>
        <w:t xml:space="preserve">World Health Organization. Medical eligibility criteria for contraceptive use, Fifth edition (2015). </w:t>
      </w:r>
      <w:hyperlink r:id="rId5" w:history="1">
        <w:r w:rsidRPr="009B5391">
          <w:rPr>
            <w:rStyle w:val="Hyperlink"/>
          </w:rPr>
          <w:t>https://www.who.int/publications/i/item/9789241549158</w:t>
        </w:r>
      </w:hyperlink>
      <w:r>
        <w:t xml:space="preserve"> </w:t>
      </w:r>
    </w:p>
  </w:endnote>
  <w:endnote w:id="4">
    <w:p w14:paraId="78A6440E" w14:textId="5D7E62C1" w:rsidR="00457199" w:rsidRPr="00567EBC" w:rsidRDefault="00457199" w:rsidP="004671A4">
      <w:pPr>
        <w:pStyle w:val="EndnoteText"/>
        <w:spacing w:before="0" w:after="0"/>
      </w:pPr>
      <w:r w:rsidRPr="00567EBC">
        <w:rPr>
          <w:rStyle w:val="EndnoteReference"/>
        </w:rPr>
        <w:endnoteRef/>
      </w:r>
      <w:r w:rsidRPr="00567EBC">
        <w:tab/>
        <w:t xml:space="preserve">Hormonal injectable: progestin-only (menstrual irregularities): </w:t>
      </w:r>
      <w:r w:rsidRPr="002C2556">
        <w:t>South African Medicines Formulary, 14th Edition.  Division of Clinical Pharmacology.  University of Cape Town, 2022</w:t>
      </w:r>
      <w:r w:rsidRPr="00567EBC">
        <w:tab/>
        <w:t xml:space="preserve">Hormonal injectable: progestin-only (menstrual irregularities): Faculty of Sexual &amp; Reproductive Healthcare Clinical Guidance: Problematic Bleeding with Hormonal Contraception Clinical Effectiveness Unit, July 2015. </w:t>
      </w:r>
      <w:hyperlink r:id="rId6" w:history="1">
        <w:r w:rsidRPr="00462534">
          <w:rPr>
            <w:rStyle w:val="Hyperlink"/>
          </w:rPr>
          <w:t>https://www.fsrh.org/standards-and-guidance/fsrh-guidelines-and-statements/management-of-srh-issues/problematic-bleeding/</w:t>
        </w:r>
      </w:hyperlink>
      <w:r>
        <w:t xml:space="preserve"> </w:t>
      </w:r>
    </w:p>
    <w:p w14:paraId="1D8DC8F2" w14:textId="77777777" w:rsidR="00457199" w:rsidRPr="00567EBC" w:rsidRDefault="00457199" w:rsidP="004671A4">
      <w:pPr>
        <w:pStyle w:val="EndnoteText"/>
        <w:spacing w:before="0" w:after="0"/>
      </w:pPr>
      <w:r w:rsidRPr="00567EBC">
        <w:tab/>
        <w:t xml:space="preserve">Hormonal injectable: progestin-only (menstrual irregularities): World Health Organisation. Medical eligibility criteria for contraceptive use, Fifth edition, 2015. </w:t>
      </w:r>
      <w:hyperlink r:id="rId7" w:history="1">
        <w:r w:rsidRPr="00CC65C3">
          <w:rPr>
            <w:rStyle w:val="Hyperlink"/>
          </w:rPr>
          <w:t>http://www.who.int/reproductivehealth/publications/family_planning/MEC-5/en/</w:t>
        </w:r>
      </w:hyperlink>
      <w:r>
        <w:t xml:space="preserve"> </w:t>
      </w:r>
    </w:p>
  </w:endnote>
  <w:endnote w:id="5">
    <w:p w14:paraId="664ED816" w14:textId="458C775F" w:rsidR="00457199" w:rsidRDefault="00457199" w:rsidP="003B6633">
      <w:pPr>
        <w:pStyle w:val="EndnoteText"/>
        <w:spacing w:before="0" w:after="0"/>
      </w:pPr>
      <w:r w:rsidRPr="00567EBC">
        <w:rPr>
          <w:rStyle w:val="EndnoteReference"/>
        </w:rPr>
        <w:endnoteRef/>
      </w:r>
      <w:r w:rsidRPr="00567EBC">
        <w:tab/>
      </w:r>
      <w:r w:rsidRPr="00792089">
        <w:t>Effectiveness of family planning methods</w:t>
      </w:r>
      <w:r>
        <w:t xml:space="preserve"> (% of women continuing use at 1-year): </w:t>
      </w:r>
      <w:r>
        <w:rPr>
          <w:rFonts w:ascii="Segoe UI" w:hAnsi="Segoe UI" w:cs="Segoe UI"/>
          <w:color w:val="212121"/>
          <w:shd w:val="clear" w:color="auto" w:fill="FFFFFF"/>
        </w:rPr>
        <w:t xml:space="preserve">Trussell J. Contraceptive failure in the United States. Contraception. 2011 May;83(5):397-404. </w:t>
      </w:r>
      <w:hyperlink r:id="rId8" w:history="1">
        <w:r w:rsidRPr="006445A6">
          <w:rPr>
            <w:rStyle w:val="Hyperlink"/>
            <w:rFonts w:ascii="Segoe UI" w:hAnsi="Segoe UI" w:cs="Segoe UI"/>
            <w:shd w:val="clear" w:color="auto" w:fill="FFFFFF"/>
          </w:rPr>
          <w:t>https://pubmed.ncbi.nlm.nih.gov/21477680/</w:t>
        </w:r>
      </w:hyperlink>
      <w:r>
        <w:rPr>
          <w:rFonts w:ascii="Segoe UI" w:hAnsi="Segoe UI" w:cs="Segoe UI"/>
          <w:color w:val="212121"/>
          <w:shd w:val="clear" w:color="auto" w:fill="FFFFFF"/>
        </w:rPr>
        <w:t xml:space="preserve"> </w:t>
      </w:r>
    </w:p>
    <w:p w14:paraId="44CC0857" w14:textId="63578C10" w:rsidR="00457199" w:rsidRPr="00567EBC" w:rsidRDefault="00457199" w:rsidP="003B6633">
      <w:pPr>
        <w:pStyle w:val="EndnoteText"/>
        <w:spacing w:before="0" w:after="0"/>
      </w:pPr>
      <w:r>
        <w:tab/>
      </w:r>
      <w:r w:rsidRPr="00792089">
        <w:t>Effectiveness of family planning methods</w:t>
      </w:r>
      <w:r>
        <w:t xml:space="preserve"> (% of women continuing use at 1-year): </w:t>
      </w:r>
      <w:r w:rsidRPr="00567EBC">
        <w:t>National Contraception and Fertility Planning and S</w:t>
      </w:r>
      <w:r>
        <w:t>ervice Delivery Guidelines, 2019 (Draft format).</w:t>
      </w:r>
    </w:p>
  </w:endnote>
  <w:endnote w:id="6">
    <w:p w14:paraId="6362A921" w14:textId="77777777" w:rsidR="00457199" w:rsidRPr="00567EBC" w:rsidRDefault="00457199" w:rsidP="004671A4">
      <w:pPr>
        <w:pStyle w:val="EndnoteText"/>
        <w:spacing w:before="0" w:after="0"/>
      </w:pPr>
      <w:r w:rsidRPr="00567EBC">
        <w:rPr>
          <w:rStyle w:val="EndnoteReference"/>
        </w:rPr>
        <w:endnoteRef/>
      </w:r>
      <w:r w:rsidRPr="00567EBC">
        <w:tab/>
        <w:t xml:space="preserve">Copper IUCD insertion: Lopez LM, </w:t>
      </w:r>
      <w:proofErr w:type="spellStart"/>
      <w:r w:rsidRPr="00567EBC">
        <w:t>Bernholc</w:t>
      </w:r>
      <w:proofErr w:type="spellEnd"/>
      <w:r w:rsidRPr="00567EBC">
        <w:t xml:space="preserve"> A, Hubacher D, Stuart G, Van Vliet HA. Immediate postpartum</w:t>
      </w:r>
      <w:r>
        <w:t xml:space="preserve"> </w:t>
      </w:r>
      <w:r w:rsidRPr="00567EBC">
        <w:t xml:space="preserve">insertion of intrauterine device for contraception. Cochrane Database </w:t>
      </w:r>
      <w:proofErr w:type="spellStart"/>
      <w:r w:rsidRPr="00567EBC">
        <w:t>Syst</w:t>
      </w:r>
      <w:proofErr w:type="spellEnd"/>
      <w:r w:rsidRPr="00567EBC">
        <w:t xml:space="preserve"> Rev. 2015 Jun 26;</w:t>
      </w:r>
      <w:r>
        <w:t xml:space="preserve"> </w:t>
      </w:r>
      <w:r w:rsidRPr="00567EBC">
        <w:t>(6):CD003036.</w:t>
      </w:r>
      <w:r>
        <w:t xml:space="preserve"> </w:t>
      </w:r>
      <w:hyperlink r:id="rId9" w:history="1">
        <w:r w:rsidRPr="00CC65C3">
          <w:rPr>
            <w:rStyle w:val="Hyperlink"/>
          </w:rPr>
          <w:t>https://www.ncbi.nlm.nih.gov/pubmed/26115018</w:t>
        </w:r>
      </w:hyperlink>
      <w:r>
        <w:t xml:space="preserve"> </w:t>
      </w:r>
    </w:p>
  </w:endnote>
  <w:endnote w:id="7">
    <w:p w14:paraId="5AFF4030" w14:textId="49866444" w:rsidR="00457199" w:rsidRPr="00567EBC" w:rsidRDefault="00457199" w:rsidP="004671A4">
      <w:pPr>
        <w:pStyle w:val="EndnoteText"/>
        <w:spacing w:before="0" w:after="0"/>
      </w:pPr>
      <w:r w:rsidRPr="00567EBC">
        <w:rPr>
          <w:rStyle w:val="EndnoteReference"/>
        </w:rPr>
        <w:endnoteRef/>
      </w:r>
      <w:r w:rsidRPr="00567EBC">
        <w:tab/>
        <w:t>Copper IUCD (patient to return): National Contraception and Fertility Planning and S</w:t>
      </w:r>
      <w:r>
        <w:t>ervice Delivery Guidelines, 2019 (Draft format).</w:t>
      </w:r>
    </w:p>
  </w:endnote>
  <w:endnote w:id="8">
    <w:p w14:paraId="0D4E4C2E" w14:textId="77777777" w:rsidR="00457199" w:rsidRPr="004877CA" w:rsidRDefault="00457199" w:rsidP="004671A4">
      <w:pPr>
        <w:pStyle w:val="EndnoteText"/>
        <w:spacing w:before="0" w:after="0"/>
      </w:pPr>
      <w:r w:rsidRPr="00567EBC">
        <w:rPr>
          <w:rStyle w:val="EndnoteReference"/>
        </w:rPr>
        <w:endnoteRef/>
      </w:r>
      <w:r w:rsidRPr="00567EBC">
        <w:tab/>
        <w:t xml:space="preserve">Subdermal implant: Scarsi KK, Darin KM, Nakalema S, Back DJ, </w:t>
      </w:r>
      <w:proofErr w:type="spellStart"/>
      <w:r w:rsidRPr="00567EBC">
        <w:t>Byakika-Kibwika</w:t>
      </w:r>
      <w:proofErr w:type="spellEnd"/>
      <w:r w:rsidRPr="00567EBC">
        <w:t xml:space="preserve"> P, Else LJ, </w:t>
      </w:r>
      <w:proofErr w:type="spellStart"/>
      <w:r w:rsidRPr="00567EBC">
        <w:t>PenchalaSD</w:t>
      </w:r>
      <w:proofErr w:type="spellEnd"/>
      <w:r w:rsidRPr="00567EBC">
        <w:t xml:space="preserve">, </w:t>
      </w:r>
      <w:proofErr w:type="spellStart"/>
      <w:r w:rsidRPr="00567EBC">
        <w:t>Buzibye</w:t>
      </w:r>
      <w:proofErr w:type="spellEnd"/>
      <w:r w:rsidRPr="00567EBC">
        <w:t xml:space="preserve"> A, Cohn SE, Merry C, </w:t>
      </w:r>
      <w:proofErr w:type="spellStart"/>
      <w:r w:rsidRPr="00567EBC">
        <w:t>Lamorde</w:t>
      </w:r>
      <w:proofErr w:type="spellEnd"/>
      <w:r w:rsidRPr="00567EBC">
        <w:t xml:space="preserve"> M. Unintended Pregnancies Observed </w:t>
      </w:r>
      <w:proofErr w:type="gramStart"/>
      <w:r w:rsidRPr="00567EBC">
        <w:t>With</w:t>
      </w:r>
      <w:proofErr w:type="gramEnd"/>
      <w:r w:rsidRPr="00567EBC">
        <w:t xml:space="preserve"> Combined Use of the Levonorgestrel Contraceptive Implant and Efavirenz-based Antiretroviral Therapy: A Three-Arm Pharmacokinetic Evaluation Over 48 Weeks. </w:t>
      </w:r>
      <w:r w:rsidRPr="004877CA">
        <w:t xml:space="preserve">Clin Infect Dis. 2016 Mar 15;62(6):675-82. </w:t>
      </w:r>
      <w:hyperlink r:id="rId10" w:history="1">
        <w:r w:rsidRPr="004877CA">
          <w:rPr>
            <w:rStyle w:val="Hyperlink"/>
          </w:rPr>
          <w:t>http://www.ncbi.nlm.nih.gov/pubmed/26646680</w:t>
        </w:r>
      </w:hyperlink>
      <w:r w:rsidRPr="004877CA">
        <w:t xml:space="preserve"> </w:t>
      </w:r>
    </w:p>
    <w:p w14:paraId="0FCD32EB" w14:textId="77777777" w:rsidR="00457199" w:rsidRPr="00567EBC" w:rsidRDefault="00457199" w:rsidP="004671A4">
      <w:pPr>
        <w:pStyle w:val="EndnoteText"/>
        <w:spacing w:before="0" w:after="0"/>
      </w:pPr>
      <w:r w:rsidRPr="004877CA">
        <w:tab/>
        <w:t xml:space="preserve">Subdermal implant: Perry SH, Swamy P, </w:t>
      </w:r>
      <w:proofErr w:type="spellStart"/>
      <w:r w:rsidRPr="004877CA">
        <w:t>Preidis</w:t>
      </w:r>
      <w:proofErr w:type="spellEnd"/>
      <w:r w:rsidRPr="004877CA">
        <w:t xml:space="preserve"> GA, </w:t>
      </w:r>
      <w:proofErr w:type="spellStart"/>
      <w:r w:rsidRPr="004877CA">
        <w:t>Mwanyumba</w:t>
      </w:r>
      <w:proofErr w:type="spellEnd"/>
      <w:r w:rsidRPr="004877CA">
        <w:t xml:space="preserve"> A, </w:t>
      </w:r>
      <w:proofErr w:type="spellStart"/>
      <w:r w:rsidRPr="004877CA">
        <w:t>Motsa</w:t>
      </w:r>
      <w:proofErr w:type="spellEnd"/>
      <w:r w:rsidRPr="004877CA">
        <w:t xml:space="preserve"> N, </w:t>
      </w:r>
      <w:proofErr w:type="spellStart"/>
      <w:r w:rsidRPr="004877CA">
        <w:t>Sarero</w:t>
      </w:r>
      <w:proofErr w:type="spellEnd"/>
      <w:r w:rsidRPr="004877CA">
        <w:t xml:space="preserve"> HN. </w:t>
      </w:r>
      <w:r w:rsidRPr="00567EBC">
        <w:t xml:space="preserve">Implementing the </w:t>
      </w:r>
      <w:proofErr w:type="spellStart"/>
      <w:r w:rsidRPr="00567EBC">
        <w:t>Jadelle</w:t>
      </w:r>
      <w:proofErr w:type="spellEnd"/>
      <w:r w:rsidRPr="00567EBC">
        <w:t xml:space="preserve"> implant for women living with HIV in a resource-limited setting: concerns for drug interactions leading to unintended pregnancies. AIDS. 2014 Mar 13;28(5):791-3. </w:t>
      </w:r>
      <w:hyperlink r:id="rId11" w:history="1">
        <w:r w:rsidRPr="00CC65C3">
          <w:rPr>
            <w:rStyle w:val="Hyperlink"/>
          </w:rPr>
          <w:t>http://www.ncbi.nlm.nih.gov/pubmed/24401645</w:t>
        </w:r>
      </w:hyperlink>
      <w:r>
        <w:t xml:space="preserve"> </w:t>
      </w:r>
    </w:p>
    <w:p w14:paraId="4E27094F" w14:textId="77777777" w:rsidR="00457199" w:rsidRPr="004877CA" w:rsidRDefault="00457199" w:rsidP="004671A4">
      <w:pPr>
        <w:pStyle w:val="EndnoteText"/>
        <w:spacing w:before="0" w:after="0"/>
      </w:pPr>
      <w:r w:rsidRPr="00567EBC">
        <w:tab/>
        <w:t xml:space="preserve">Subdermal implant: Vieira CS, Bahamondes MV, de Souza RM, Brito MB, Rocha Prandini TR, Amaral E,  Bahamondes L, Duarte G, </w:t>
      </w:r>
      <w:proofErr w:type="spellStart"/>
      <w:r w:rsidRPr="00567EBC">
        <w:t>Quintana</w:t>
      </w:r>
      <w:proofErr w:type="spellEnd"/>
      <w:r w:rsidRPr="00567EBC">
        <w:t xml:space="preserve"> SM, </w:t>
      </w:r>
      <w:proofErr w:type="spellStart"/>
      <w:r w:rsidRPr="00567EBC">
        <w:t>Scaranari</w:t>
      </w:r>
      <w:proofErr w:type="spellEnd"/>
      <w:r w:rsidRPr="00567EBC">
        <w:t xml:space="preserve"> C, </w:t>
      </w:r>
      <w:proofErr w:type="spellStart"/>
      <w:r w:rsidRPr="00567EBC">
        <w:t>Ferriani</w:t>
      </w:r>
      <w:proofErr w:type="spellEnd"/>
      <w:r w:rsidRPr="00567EBC">
        <w:t xml:space="preserve"> RA. Effect of antiretroviral therapy including lopinavir/ritonavir or efavirenz on etonogestrel-releasing implant pharmacokinetics in HIV-positive women. </w:t>
      </w:r>
      <w:r w:rsidRPr="004877CA">
        <w:t xml:space="preserve">J </w:t>
      </w:r>
      <w:proofErr w:type="spellStart"/>
      <w:r w:rsidRPr="004877CA">
        <w:t>Acquir</w:t>
      </w:r>
      <w:proofErr w:type="spellEnd"/>
      <w:r w:rsidRPr="004877CA">
        <w:t xml:space="preserve"> Immune </w:t>
      </w:r>
      <w:proofErr w:type="spellStart"/>
      <w:r w:rsidRPr="004877CA">
        <w:t>Defic</w:t>
      </w:r>
      <w:proofErr w:type="spellEnd"/>
      <w:r w:rsidRPr="004877CA">
        <w:t xml:space="preserve"> Syndr. 2014 Aug 1;66(4):378-85. </w:t>
      </w:r>
      <w:hyperlink r:id="rId12" w:history="1">
        <w:r w:rsidRPr="004877CA">
          <w:rPr>
            <w:rStyle w:val="Hyperlink"/>
          </w:rPr>
          <w:t>http://www.ncbi.nlm.nih.gov/pubmed/24798768</w:t>
        </w:r>
      </w:hyperlink>
      <w:r w:rsidRPr="004877CA">
        <w:t xml:space="preserve"> </w:t>
      </w:r>
    </w:p>
    <w:p w14:paraId="4A9CEE6B" w14:textId="77777777" w:rsidR="00457199" w:rsidRPr="00567EBC" w:rsidRDefault="00457199" w:rsidP="004671A4">
      <w:pPr>
        <w:pStyle w:val="EndnoteText"/>
        <w:spacing w:before="0" w:after="0"/>
      </w:pPr>
      <w:r w:rsidRPr="004877CA">
        <w:tab/>
      </w:r>
      <w:r w:rsidRPr="00567EBC">
        <w:t>Subdermal implant: World Health Organisation. Medical eligibility criteria for contraceptive use</w:t>
      </w:r>
      <w:r>
        <w:t xml:space="preserve"> </w:t>
      </w:r>
      <w:r w:rsidRPr="00567EBC">
        <w:t xml:space="preserve">Fifth edition, 2015. </w:t>
      </w:r>
      <w:hyperlink r:id="rId13" w:history="1">
        <w:r w:rsidRPr="00CC65C3">
          <w:rPr>
            <w:rStyle w:val="Hyperlink"/>
          </w:rPr>
          <w:t>http://www.who.int/reproductivehealth/publications/family_planning/MEC-5/en/</w:t>
        </w:r>
      </w:hyperlink>
      <w:r>
        <w:t xml:space="preserve"> </w:t>
      </w:r>
    </w:p>
  </w:endnote>
  <w:endnote w:id="9">
    <w:p w14:paraId="33D1872A" w14:textId="3D426F57" w:rsidR="00457199" w:rsidRDefault="00457199" w:rsidP="00AA5610">
      <w:pPr>
        <w:pStyle w:val="EndnoteText"/>
        <w:spacing w:before="0" w:after="0"/>
      </w:pPr>
      <w:r w:rsidRPr="00567EBC">
        <w:rPr>
          <w:rStyle w:val="EndnoteReference"/>
        </w:rPr>
        <w:endnoteRef/>
      </w:r>
      <w:r w:rsidRPr="00567EBC">
        <w:tab/>
      </w:r>
      <w:proofErr w:type="spellStart"/>
      <w:r>
        <w:t>Levnorgestrel</w:t>
      </w:r>
      <w:proofErr w:type="spellEnd"/>
      <w:r>
        <w:t xml:space="preserve"> IUD</w:t>
      </w:r>
      <w:r w:rsidRPr="00567EBC">
        <w:t xml:space="preserve">: </w:t>
      </w:r>
      <w:r w:rsidRPr="002C7D7B">
        <w:t>National Department of Health: Affordable Medicines, EDP-</w:t>
      </w:r>
      <w:r>
        <w:t xml:space="preserve"> Primary Healthcare</w:t>
      </w:r>
      <w:r w:rsidRPr="002C7D7B">
        <w:t xml:space="preserve"> level. Medicine Review: Levonorgestrel-releasing intrauterine system</w:t>
      </w:r>
      <w:r>
        <w:t xml:space="preserve"> </w:t>
      </w:r>
      <w:r w:rsidRPr="002C7D7B">
        <w:t xml:space="preserve">for </w:t>
      </w:r>
      <w:r>
        <w:t>contraception</w:t>
      </w:r>
      <w:r w:rsidRPr="002C7D7B">
        <w:t xml:space="preserve">, </w:t>
      </w:r>
      <w:r>
        <w:t>April 2013</w:t>
      </w:r>
      <w:r w:rsidRPr="002C7D7B">
        <w:t xml:space="preserve">. </w:t>
      </w:r>
      <w:hyperlink r:id="rId14" w:history="1">
        <w:r w:rsidRPr="006445A6">
          <w:rPr>
            <w:rStyle w:val="Hyperlink"/>
          </w:rPr>
          <w:t>https://www.knowledgehub.org.za/e-library</w:t>
        </w:r>
      </w:hyperlink>
      <w:r>
        <w:t xml:space="preserve"> </w:t>
      </w:r>
    </w:p>
    <w:p w14:paraId="35B385D2" w14:textId="009E4BEA" w:rsidR="00457199" w:rsidRPr="00567EBC" w:rsidRDefault="00457199" w:rsidP="00AA5610">
      <w:pPr>
        <w:pStyle w:val="EndnoteText"/>
        <w:spacing w:before="0" w:after="0"/>
      </w:pPr>
      <w:r>
        <w:tab/>
      </w:r>
      <w:proofErr w:type="spellStart"/>
      <w:r>
        <w:t>Levnorgestrel</w:t>
      </w:r>
      <w:proofErr w:type="spellEnd"/>
      <w:r>
        <w:t xml:space="preserve"> IUD</w:t>
      </w:r>
      <w:r w:rsidRPr="00567EBC">
        <w:t>:</w:t>
      </w:r>
      <w:r>
        <w:t xml:space="preserve"> </w:t>
      </w:r>
      <w:r w:rsidRPr="002C7D7B">
        <w:t>National Department of Health: Affordable Medicines, EDP-</w:t>
      </w:r>
      <w:r>
        <w:t xml:space="preserve"> Primary Healthcare</w:t>
      </w:r>
      <w:r w:rsidRPr="002C7D7B">
        <w:t xml:space="preserve"> level. Medicine Review: </w:t>
      </w:r>
      <w:r>
        <w:t>Low-dose l</w:t>
      </w:r>
      <w:r w:rsidRPr="002C7D7B">
        <w:t>evonorgestrel-releasing intrauterine system</w:t>
      </w:r>
      <w:r>
        <w:t xml:space="preserve"> </w:t>
      </w:r>
      <w:r w:rsidRPr="002C7D7B">
        <w:t xml:space="preserve">for </w:t>
      </w:r>
      <w:r>
        <w:t>contraception</w:t>
      </w:r>
      <w:r w:rsidRPr="002C7D7B">
        <w:t xml:space="preserve">, </w:t>
      </w:r>
      <w:r>
        <w:t>August 2020</w:t>
      </w:r>
      <w:r w:rsidRPr="002C7D7B">
        <w:t xml:space="preserve">. </w:t>
      </w:r>
      <w:r w:rsidRPr="002C2556">
        <w:t>https://www.knowledgehub.org.za/content/standard-treatment-guidelines-and-essential-medicines-list</w:t>
      </w:r>
      <w:r>
        <w:tab/>
      </w:r>
      <w:proofErr w:type="spellStart"/>
      <w:r>
        <w:t>Levnorgestrel</w:t>
      </w:r>
      <w:proofErr w:type="spellEnd"/>
      <w:r>
        <w:t xml:space="preserve"> IUD</w:t>
      </w:r>
      <w:r w:rsidRPr="00567EBC">
        <w:t>:</w:t>
      </w:r>
      <w:r>
        <w:t xml:space="preserve"> World Health Organization Department of Reproductive Health and Research (WHO/RHR) and Johns Hopkins Bloomberg School of Public Health/</w:t>
      </w:r>
      <w:proofErr w:type="spellStart"/>
      <w:r>
        <w:t>Center</w:t>
      </w:r>
      <w:proofErr w:type="spellEnd"/>
      <w:r>
        <w:t xml:space="preserve"> for Communication Programs (CCP), Knowledge for Health Project. Family Planning: A Global Handbook for Providers (2018 update). Baltimore and Geneva: CCP and WHO, 2018. </w:t>
      </w:r>
      <w:hyperlink r:id="rId15" w:history="1">
        <w:r w:rsidRPr="006445A6">
          <w:rPr>
            <w:rStyle w:val="Hyperlink"/>
          </w:rPr>
          <w:t>https://www.who.int/reproductivehealth/publications/fp-global-handbook/en/</w:t>
        </w:r>
      </w:hyperlink>
      <w:r>
        <w:t xml:space="preserve"> </w:t>
      </w:r>
    </w:p>
  </w:endnote>
  <w:endnote w:id="10">
    <w:p w14:paraId="3EBC5595" w14:textId="78C24F4F" w:rsidR="00457199" w:rsidRDefault="00457199" w:rsidP="004A5A14">
      <w:pPr>
        <w:pStyle w:val="EndnoteText"/>
        <w:spacing w:before="0" w:after="0"/>
      </w:pPr>
      <w:r w:rsidRPr="00567EBC">
        <w:rPr>
          <w:rStyle w:val="EndnoteReference"/>
        </w:rPr>
        <w:endnoteRef/>
      </w:r>
      <w:r w:rsidRPr="00567EBC">
        <w:tab/>
      </w:r>
      <w:r>
        <w:t>Levonorgestrel IUD</w:t>
      </w:r>
      <w:r w:rsidRPr="00567EBC">
        <w:t xml:space="preserve"> (</w:t>
      </w:r>
      <w:r>
        <w:t>HIV-infected</w:t>
      </w:r>
      <w:r w:rsidRPr="00567EBC">
        <w:t xml:space="preserve">): </w:t>
      </w:r>
      <w:r w:rsidRPr="00D9657E">
        <w:t xml:space="preserve">Todd CS, Jones HE, </w:t>
      </w:r>
      <w:proofErr w:type="spellStart"/>
      <w:r w:rsidRPr="00D9657E">
        <w:t>Langwenya</w:t>
      </w:r>
      <w:proofErr w:type="spellEnd"/>
      <w:r w:rsidRPr="00D9657E">
        <w:t xml:space="preserve"> N, Hoover DR, Chen PL, Petro G, Myer L. Safety and continued use of the levonorgestrel intrauterine system as compared with the copper intrauterine device among women living with HIV in South Africa: A randomized controlled trial. </w:t>
      </w:r>
      <w:proofErr w:type="spellStart"/>
      <w:r w:rsidRPr="00D9657E">
        <w:t>PLoS</w:t>
      </w:r>
      <w:proofErr w:type="spellEnd"/>
      <w:r w:rsidRPr="00D9657E">
        <w:t xml:space="preserve"> Med. 2020 May 22;17(5):e1003110. </w:t>
      </w:r>
      <w:hyperlink r:id="rId16" w:history="1">
        <w:r w:rsidRPr="00AA38C2">
          <w:rPr>
            <w:rStyle w:val="Hyperlink"/>
          </w:rPr>
          <w:t>https://pubmed.ncbi.nlm.nih.gov/32442189/</w:t>
        </w:r>
      </w:hyperlink>
      <w:r>
        <w:t xml:space="preserve"> </w:t>
      </w:r>
      <w:r w:rsidRPr="00D9657E">
        <w:t xml:space="preserve"> </w:t>
      </w:r>
    </w:p>
    <w:p w14:paraId="6E1726BF" w14:textId="0BFC09AF" w:rsidR="00457199" w:rsidRPr="00567EBC" w:rsidRDefault="00457199" w:rsidP="004A5A14">
      <w:pPr>
        <w:pStyle w:val="EndnoteText"/>
        <w:spacing w:before="0" w:after="0"/>
      </w:pPr>
      <w:r>
        <w:tab/>
        <w:t>Levonorgestrel IUD</w:t>
      </w:r>
      <w:r w:rsidRPr="00567EBC">
        <w:t xml:space="preserve"> (</w:t>
      </w:r>
      <w:r>
        <w:t>HIV-infected</w:t>
      </w:r>
      <w:r w:rsidRPr="00567EBC">
        <w:t xml:space="preserve">): </w:t>
      </w:r>
      <w:r>
        <w:t xml:space="preserve">World Health Organization. Medical eligibility criteria for contraceptive use, Fifth edition (2015). </w:t>
      </w:r>
      <w:hyperlink r:id="rId17" w:history="1">
        <w:r w:rsidRPr="00AA38C2">
          <w:rPr>
            <w:rStyle w:val="Hyperlink"/>
          </w:rPr>
          <w:t>https://www.who.int/publications/i/item/9789241549158</w:t>
        </w:r>
      </w:hyperlink>
      <w:r>
        <w:t xml:space="preserve"> </w:t>
      </w:r>
    </w:p>
  </w:endnote>
  <w:endnote w:id="11">
    <w:p w14:paraId="442CEC9D" w14:textId="3E2D56FF" w:rsidR="00457199" w:rsidRDefault="00457199" w:rsidP="004671A4">
      <w:pPr>
        <w:pStyle w:val="EndnoteText"/>
        <w:spacing w:before="0" w:after="0"/>
        <w:rPr>
          <w:rStyle w:val="Hyperlink"/>
        </w:rPr>
      </w:pPr>
      <w:r w:rsidRPr="00567EBC">
        <w:rPr>
          <w:rStyle w:val="EndnoteReference"/>
        </w:rPr>
        <w:endnoteRef/>
      </w:r>
      <w:r w:rsidRPr="00567EBC">
        <w:tab/>
      </w:r>
      <w:r>
        <w:t>Levonorgestrel IUD</w:t>
      </w:r>
      <w:r w:rsidRPr="00567EBC">
        <w:t xml:space="preserve"> (</w:t>
      </w:r>
      <w:r>
        <w:t>practice management</w:t>
      </w:r>
      <w:r w:rsidRPr="00567EBC">
        <w:t xml:space="preserve">): </w:t>
      </w:r>
      <w:r>
        <w:t>World Health Organization Department of Reproductive Health and Research (WHO/RHR) and Johns Hopkins Bloomberg School of Public Health/</w:t>
      </w:r>
      <w:proofErr w:type="spellStart"/>
      <w:r>
        <w:t>Center</w:t>
      </w:r>
      <w:proofErr w:type="spellEnd"/>
      <w:r>
        <w:t xml:space="preserve"> for Communication Programs (CCP), Knowledge for Health Project. Family Planning: A Global Handbook for Providers (2018 update). Baltimore and Geneva: CCP and WHO, 2018. </w:t>
      </w:r>
      <w:hyperlink r:id="rId18" w:history="1">
        <w:r w:rsidRPr="006445A6">
          <w:rPr>
            <w:rStyle w:val="Hyperlink"/>
          </w:rPr>
          <w:t>https://www.who.int/reproductivehealth/publications/fp-global-handbook/en/</w:t>
        </w:r>
      </w:hyperlink>
    </w:p>
    <w:p w14:paraId="155A7101" w14:textId="1C74851B" w:rsidR="00457199" w:rsidRPr="00567EBC" w:rsidRDefault="00457199" w:rsidP="004671A4">
      <w:pPr>
        <w:pStyle w:val="EndnoteText"/>
        <w:spacing w:before="0" w:after="0"/>
      </w:pPr>
      <w:r w:rsidRPr="00D9657E">
        <w:rPr>
          <w:rStyle w:val="Hyperlink"/>
          <w:u w:val="none"/>
        </w:rPr>
        <w:tab/>
      </w:r>
      <w:r>
        <w:t>Levonorgestrel IUD</w:t>
      </w:r>
      <w:r w:rsidRPr="00567EBC">
        <w:t xml:space="preserve"> (</w:t>
      </w:r>
      <w:r>
        <w:t>practice management</w:t>
      </w:r>
      <w:r w:rsidRPr="00567EBC">
        <w:t>):</w:t>
      </w:r>
      <w:r>
        <w:t xml:space="preserve"> World Health Organization. Medical eligibility criteria for contraceptive use, Fifth edition (2015). </w:t>
      </w:r>
      <w:hyperlink r:id="rId19" w:history="1">
        <w:r w:rsidRPr="009B5391">
          <w:rPr>
            <w:rStyle w:val="Hyperlink"/>
          </w:rPr>
          <w:t>https://www.who.int/publications/i/item/9789241549158</w:t>
        </w:r>
      </w:hyperlink>
      <w:r>
        <w:t xml:space="preserve"> </w:t>
      </w:r>
    </w:p>
  </w:endnote>
  <w:endnote w:id="12">
    <w:p w14:paraId="56C467B2" w14:textId="3F5F515E" w:rsidR="00457199" w:rsidRPr="00567EBC" w:rsidRDefault="00457199" w:rsidP="00BC2F62">
      <w:pPr>
        <w:pStyle w:val="EndnoteText"/>
        <w:spacing w:before="0" w:after="0"/>
      </w:pPr>
      <w:r w:rsidRPr="00264FB2">
        <w:rPr>
          <w:rStyle w:val="EndnoteReference"/>
        </w:rPr>
        <w:endnoteRef/>
      </w:r>
      <w:r w:rsidRPr="00567EBC">
        <w:tab/>
      </w:r>
      <w:r>
        <w:t xml:space="preserve">Levonorgestrel IUD (referral for first time </w:t>
      </w:r>
      <w:proofErr w:type="spellStart"/>
      <w:r>
        <w:t>migrane</w:t>
      </w:r>
      <w:proofErr w:type="spellEnd"/>
      <w:r>
        <w:t xml:space="preserve">/ severe headache): </w:t>
      </w:r>
      <w:r w:rsidRPr="002C2556">
        <w:t>South African Medicines Formulary, 14th Edition.  Division of Clinical Pharmacology.  University of Cape Town, 2022</w:t>
      </w:r>
      <w:r w:rsidRPr="00567EBC">
        <w:t>.</w:t>
      </w:r>
    </w:p>
  </w:endnote>
  <w:endnote w:id="13">
    <w:p w14:paraId="0A7E140A" w14:textId="77777777" w:rsidR="00457199" w:rsidRPr="00567EBC" w:rsidRDefault="00457199" w:rsidP="004671A4">
      <w:pPr>
        <w:pStyle w:val="EndnoteText"/>
        <w:spacing w:before="0" w:after="0"/>
      </w:pPr>
      <w:r w:rsidRPr="00264FB2">
        <w:rPr>
          <w:rStyle w:val="EndnoteReference"/>
        </w:rPr>
        <w:endnoteRef/>
      </w:r>
      <w:r w:rsidRPr="00567EBC">
        <w:tab/>
        <w:t xml:space="preserve">Progestin-only injectables: Draper BH, Morroni C, Hoffman M, Smit J, </w:t>
      </w:r>
      <w:proofErr w:type="spellStart"/>
      <w:r w:rsidRPr="00567EBC">
        <w:t>Beksinska</w:t>
      </w:r>
      <w:proofErr w:type="spellEnd"/>
      <w:r w:rsidRPr="00567EBC">
        <w:t xml:space="preserve"> M, Hapgood J, Van der Merwe L. Depot medroxyprogesterone versus </w:t>
      </w:r>
      <w:proofErr w:type="spellStart"/>
      <w:r w:rsidRPr="00567EBC">
        <w:t>norethisteroneoenanthate</w:t>
      </w:r>
      <w:proofErr w:type="spellEnd"/>
      <w:r w:rsidRPr="00567EBC">
        <w:t xml:space="preserve"> for long-acting progestogenic contraception. Cochrane Database </w:t>
      </w:r>
      <w:proofErr w:type="spellStart"/>
      <w:r w:rsidRPr="00567EBC">
        <w:t>Syst</w:t>
      </w:r>
      <w:proofErr w:type="spellEnd"/>
      <w:r w:rsidRPr="00567EBC">
        <w:t xml:space="preserve"> Rev. 2006 Jul 19;(3):CD005214. </w:t>
      </w:r>
      <w:hyperlink r:id="rId20" w:history="1">
        <w:r w:rsidRPr="00CC65C3">
          <w:rPr>
            <w:rStyle w:val="Hyperlink"/>
          </w:rPr>
          <w:t>http://www.ncbi.nlm.nih.gov/pubmed/16856087</w:t>
        </w:r>
      </w:hyperlink>
      <w:r>
        <w:t xml:space="preserve"> </w:t>
      </w:r>
    </w:p>
  </w:endnote>
  <w:endnote w:id="14">
    <w:p w14:paraId="21D369C6" w14:textId="45593247" w:rsidR="00457199" w:rsidRPr="00567EBC" w:rsidRDefault="00457199" w:rsidP="004671A4">
      <w:pPr>
        <w:pStyle w:val="EndnoteText"/>
        <w:spacing w:before="0" w:after="0"/>
      </w:pPr>
      <w:r w:rsidRPr="00264FB2">
        <w:rPr>
          <w:rStyle w:val="EndnoteReference"/>
        </w:rPr>
        <w:endnoteRef/>
      </w:r>
      <w:r w:rsidRPr="00567EBC">
        <w:tab/>
        <w:t>Progestin-only injectables (postpartum): National Contraception and Fertility Planning and S</w:t>
      </w:r>
      <w:r>
        <w:t>ervice Delivery Guidelines, 2019 (Draft format).</w:t>
      </w:r>
    </w:p>
  </w:endnote>
  <w:endnote w:id="15">
    <w:p w14:paraId="468D95DD" w14:textId="20DB8AB7" w:rsidR="00457199" w:rsidRPr="00567EBC" w:rsidRDefault="00457199" w:rsidP="004671A4">
      <w:pPr>
        <w:pStyle w:val="EndnoteText"/>
        <w:spacing w:before="0" w:after="0"/>
      </w:pPr>
      <w:r w:rsidRPr="00264FB2">
        <w:rPr>
          <w:rStyle w:val="EndnoteReference"/>
        </w:rPr>
        <w:endnoteRef/>
      </w:r>
      <w:r w:rsidRPr="00567EBC">
        <w:tab/>
        <w:t>Progestin-only injectables (late injection): National Contraception and Fertility Planning and S</w:t>
      </w:r>
      <w:r>
        <w:t>ervice Delivery Guidelines, 2019 (Draft format).</w:t>
      </w:r>
    </w:p>
  </w:endnote>
  <w:endnote w:id="16">
    <w:p w14:paraId="40BB1D52" w14:textId="77777777" w:rsidR="00457199" w:rsidRPr="00567EBC" w:rsidRDefault="00457199" w:rsidP="004671A4">
      <w:pPr>
        <w:pStyle w:val="EndnoteText"/>
        <w:spacing w:before="0" w:after="0"/>
      </w:pPr>
      <w:r w:rsidRPr="00264FB2">
        <w:rPr>
          <w:rStyle w:val="EndnoteReference"/>
        </w:rPr>
        <w:endnoteRef/>
      </w:r>
      <w:r w:rsidRPr="00567EBC">
        <w:t xml:space="preserve"> World Health Organisation. Guidance statement: Hormonal contraceptive eligibility for</w:t>
      </w:r>
      <w:r>
        <w:t xml:space="preserve"> women at high risk of HIV, 2019</w:t>
      </w:r>
      <w:r w:rsidRPr="00567EBC">
        <w:t xml:space="preserve">. </w:t>
      </w:r>
      <w:hyperlink r:id="rId21" w:history="1">
        <w:r w:rsidRPr="00462534">
          <w:rPr>
            <w:rStyle w:val="Hyperlink"/>
          </w:rPr>
          <w:t>https://www.who.int/reproductivehealth/publications/contraceptive-eligibility-women-at-high-risk-of-HIV/en/</w:t>
        </w:r>
      </w:hyperlink>
      <w:r>
        <w:t xml:space="preserve"> </w:t>
      </w:r>
    </w:p>
  </w:endnote>
  <w:endnote w:id="17">
    <w:p w14:paraId="6560AB0D" w14:textId="77777777" w:rsidR="00457199" w:rsidRPr="00567EBC" w:rsidRDefault="00457199" w:rsidP="004671A4">
      <w:pPr>
        <w:pStyle w:val="EndnoteText"/>
        <w:spacing w:before="0" w:after="0"/>
      </w:pPr>
      <w:r w:rsidRPr="00264FB2">
        <w:rPr>
          <w:rStyle w:val="EndnoteReference"/>
        </w:rPr>
        <w:endnoteRef/>
      </w:r>
      <w:r w:rsidRPr="00567EBC">
        <w:tab/>
        <w:t xml:space="preserve">Monophasic-progestin only pills (therapeutic class): van </w:t>
      </w:r>
      <w:proofErr w:type="spellStart"/>
      <w:r w:rsidRPr="00567EBC">
        <w:t>Hylckama</w:t>
      </w:r>
      <w:proofErr w:type="spellEnd"/>
      <w:r w:rsidRPr="00567EBC">
        <w:t xml:space="preserve"> </w:t>
      </w:r>
      <w:proofErr w:type="spellStart"/>
      <w:r w:rsidRPr="00567EBC">
        <w:t>Vlieg</w:t>
      </w:r>
      <w:proofErr w:type="spellEnd"/>
      <w:r w:rsidRPr="00567EBC">
        <w:t xml:space="preserve"> A, </w:t>
      </w:r>
      <w:proofErr w:type="spellStart"/>
      <w:r w:rsidRPr="00567EBC">
        <w:t>Helmerhorst</w:t>
      </w:r>
      <w:proofErr w:type="spellEnd"/>
      <w:r w:rsidRPr="00567EBC">
        <w:t xml:space="preserve"> FM, Vandenbroucke JP, </w:t>
      </w:r>
      <w:proofErr w:type="spellStart"/>
      <w:r w:rsidRPr="00567EBC">
        <w:t>Doggen</w:t>
      </w:r>
      <w:proofErr w:type="spellEnd"/>
      <w:r w:rsidRPr="00567EBC">
        <w:t xml:space="preserve"> CJ, </w:t>
      </w:r>
      <w:proofErr w:type="spellStart"/>
      <w:r w:rsidRPr="00567EBC">
        <w:t>Rosendaal</w:t>
      </w:r>
      <w:proofErr w:type="spellEnd"/>
      <w:r w:rsidRPr="00567EBC">
        <w:t xml:space="preserve"> FR. The venous thrombotic risk of oral contraceptives, effects of oestrogen dose  and progestogen type: results of the MEGA case-control study. BMJ. 2009 Aug 13;339:b2921. </w:t>
      </w:r>
      <w:hyperlink r:id="rId22" w:history="1">
        <w:r w:rsidRPr="00CC65C3">
          <w:rPr>
            <w:rStyle w:val="Hyperlink"/>
          </w:rPr>
          <w:t>https://www.ncbi.nlm.nih.gov/pubmed/19679614</w:t>
        </w:r>
      </w:hyperlink>
      <w:r>
        <w:t xml:space="preserve"> </w:t>
      </w:r>
    </w:p>
    <w:p w14:paraId="488F10E0" w14:textId="77777777" w:rsidR="00457199" w:rsidRPr="00567EBC" w:rsidRDefault="00457199" w:rsidP="004671A4">
      <w:pPr>
        <w:pStyle w:val="EndnoteText"/>
        <w:spacing w:before="0" w:after="0"/>
      </w:pPr>
      <w:r w:rsidRPr="00567EBC">
        <w:tab/>
        <w:t xml:space="preserve">Monophasic-progestin only pills (therapeutic class): Lidegaard Ø, Nielsen LH, Skovlund CW, </w:t>
      </w:r>
      <w:proofErr w:type="spellStart"/>
      <w:r w:rsidRPr="00567EBC">
        <w:t>Skjeldestad</w:t>
      </w:r>
      <w:proofErr w:type="spellEnd"/>
      <w:r w:rsidRPr="00567EBC">
        <w:t xml:space="preserve"> FE, Løkkegaard E. Risk of venous thromboembolism from use of oral contraceptives containing different progestogens and oestrogen doses: Danish cohort study, 2001-9. BMJ. 2011 Oct 25;343:d6423. </w:t>
      </w:r>
      <w:hyperlink r:id="rId23" w:history="1">
        <w:r w:rsidRPr="00CC65C3">
          <w:rPr>
            <w:rStyle w:val="Hyperlink"/>
          </w:rPr>
          <w:t>https://www.ncbi.nlm.nih.gov/pubmed/22027398</w:t>
        </w:r>
      </w:hyperlink>
      <w:r>
        <w:t xml:space="preserve"> </w:t>
      </w:r>
    </w:p>
  </w:endnote>
  <w:endnote w:id="18">
    <w:p w14:paraId="33874495" w14:textId="77777777" w:rsidR="00457199" w:rsidRPr="00567EBC" w:rsidRDefault="00457199" w:rsidP="004671A4">
      <w:pPr>
        <w:pStyle w:val="EndnoteText"/>
        <w:spacing w:before="0" w:after="0"/>
      </w:pPr>
      <w:r w:rsidRPr="00264FB2">
        <w:rPr>
          <w:rStyle w:val="EndnoteReference"/>
        </w:rPr>
        <w:endnoteRef/>
      </w:r>
      <w:r w:rsidRPr="00567EBC">
        <w:tab/>
      </w:r>
      <w:proofErr w:type="gramStart"/>
      <w:r w:rsidRPr="00567EBC">
        <w:t>Monophasic-progestin</w:t>
      </w:r>
      <w:proofErr w:type="gramEnd"/>
      <w:r w:rsidRPr="00567EBC">
        <w:t>/</w:t>
      </w:r>
      <w:proofErr w:type="spellStart"/>
      <w:r w:rsidRPr="00567EBC">
        <w:t>estrogen</w:t>
      </w:r>
      <w:proofErr w:type="spellEnd"/>
      <w:r w:rsidRPr="00567EBC">
        <w:t xml:space="preserve"> combination pills (therapeutic class): van </w:t>
      </w:r>
      <w:proofErr w:type="spellStart"/>
      <w:r w:rsidRPr="00567EBC">
        <w:t>Hylckama</w:t>
      </w:r>
      <w:proofErr w:type="spellEnd"/>
      <w:r w:rsidRPr="00567EBC">
        <w:t xml:space="preserve"> </w:t>
      </w:r>
      <w:proofErr w:type="spellStart"/>
      <w:r w:rsidRPr="00567EBC">
        <w:t>Vlieg</w:t>
      </w:r>
      <w:proofErr w:type="spellEnd"/>
      <w:r w:rsidRPr="00567EBC">
        <w:t xml:space="preserve"> A, </w:t>
      </w:r>
      <w:proofErr w:type="spellStart"/>
      <w:r w:rsidRPr="00567EBC">
        <w:t>Helmerhorst</w:t>
      </w:r>
      <w:proofErr w:type="spellEnd"/>
      <w:r w:rsidRPr="00567EBC">
        <w:t xml:space="preserve"> FM, Vandenbroucke JP, </w:t>
      </w:r>
      <w:proofErr w:type="spellStart"/>
      <w:r w:rsidRPr="00567EBC">
        <w:t>Doggen</w:t>
      </w:r>
      <w:proofErr w:type="spellEnd"/>
      <w:r w:rsidRPr="00567EBC">
        <w:t xml:space="preserve"> CJ, </w:t>
      </w:r>
      <w:proofErr w:type="spellStart"/>
      <w:r w:rsidRPr="00567EBC">
        <w:t>Rosendaal</w:t>
      </w:r>
      <w:proofErr w:type="spellEnd"/>
      <w:r w:rsidRPr="00567EBC">
        <w:t xml:space="preserve"> FR. The venous thrombotic risk of oral contraceptives, effects of oestrogen dose  and progestogen type: results of the MEGA case-control study. BMJ. 2009 Aug 13;339:b2921. </w:t>
      </w:r>
      <w:hyperlink r:id="rId24" w:history="1">
        <w:r w:rsidRPr="00CC65C3">
          <w:rPr>
            <w:rStyle w:val="Hyperlink"/>
          </w:rPr>
          <w:t>https://www.ncbi.nlm.nih.gov/pubmed/19679614</w:t>
        </w:r>
      </w:hyperlink>
      <w:r>
        <w:t xml:space="preserve"> </w:t>
      </w:r>
    </w:p>
    <w:p w14:paraId="675ECE7C" w14:textId="77777777" w:rsidR="00457199" w:rsidRPr="00567EBC" w:rsidRDefault="00457199" w:rsidP="004671A4">
      <w:pPr>
        <w:pStyle w:val="EndnoteText"/>
        <w:spacing w:before="0" w:after="0"/>
      </w:pPr>
      <w:r w:rsidRPr="00567EBC">
        <w:tab/>
      </w:r>
      <w:proofErr w:type="gramStart"/>
      <w:r w:rsidRPr="00567EBC">
        <w:t>Monophasic-progestin</w:t>
      </w:r>
      <w:proofErr w:type="gramEnd"/>
      <w:r w:rsidRPr="00567EBC">
        <w:t>/</w:t>
      </w:r>
      <w:proofErr w:type="spellStart"/>
      <w:r w:rsidRPr="00567EBC">
        <w:t>estrogen</w:t>
      </w:r>
      <w:proofErr w:type="spellEnd"/>
      <w:r w:rsidRPr="00567EBC">
        <w:t xml:space="preserve"> combination pills (therapeutic class): Lidegaard Ø, Nielsen LH, Skovlund CW, </w:t>
      </w:r>
      <w:proofErr w:type="spellStart"/>
      <w:r w:rsidRPr="00567EBC">
        <w:t>Skjeldestad</w:t>
      </w:r>
      <w:proofErr w:type="spellEnd"/>
      <w:r w:rsidRPr="00567EBC">
        <w:t xml:space="preserve"> FE, Løkkegaard E. Risk of venous thromboembolism from use of oral contraceptives containing different progestogens and oestrogen doses: Danish cohort study, 2001-9. BMJ. 2011 Oct 25;343:d6423. </w:t>
      </w:r>
      <w:hyperlink r:id="rId25" w:history="1">
        <w:r w:rsidRPr="00CC65C3">
          <w:rPr>
            <w:rStyle w:val="Hyperlink"/>
          </w:rPr>
          <w:t>https://www.ncbi.nlm.nih.gov/pubmed/22027398</w:t>
        </w:r>
      </w:hyperlink>
      <w:r>
        <w:t xml:space="preserve"> </w:t>
      </w:r>
    </w:p>
  </w:endnote>
  <w:endnote w:id="19">
    <w:p w14:paraId="3B245A64" w14:textId="77777777" w:rsidR="00457199" w:rsidRPr="00567EBC" w:rsidRDefault="00457199" w:rsidP="004671A4">
      <w:pPr>
        <w:pStyle w:val="EndnoteText"/>
        <w:spacing w:before="0" w:after="0"/>
      </w:pPr>
      <w:r w:rsidRPr="006B0668">
        <w:rPr>
          <w:rStyle w:val="EndnoteReference"/>
        </w:rPr>
        <w:endnoteRef/>
      </w:r>
      <w:r w:rsidRPr="00567EBC">
        <w:tab/>
        <w:t>Triphasic- progestin/</w:t>
      </w:r>
      <w:proofErr w:type="spellStart"/>
      <w:r w:rsidRPr="00567EBC">
        <w:t>estrogen</w:t>
      </w:r>
      <w:proofErr w:type="spellEnd"/>
      <w:r w:rsidRPr="00567EBC">
        <w:t xml:space="preserve"> combination pills (therapeutic class): van </w:t>
      </w:r>
      <w:proofErr w:type="spellStart"/>
      <w:r w:rsidRPr="00567EBC">
        <w:t>Hylckama</w:t>
      </w:r>
      <w:proofErr w:type="spellEnd"/>
      <w:r w:rsidRPr="00567EBC">
        <w:t xml:space="preserve"> </w:t>
      </w:r>
      <w:proofErr w:type="spellStart"/>
      <w:r w:rsidRPr="00567EBC">
        <w:t>Vlieg</w:t>
      </w:r>
      <w:proofErr w:type="spellEnd"/>
      <w:r w:rsidRPr="00567EBC">
        <w:t xml:space="preserve"> A, </w:t>
      </w:r>
      <w:proofErr w:type="spellStart"/>
      <w:r w:rsidRPr="00567EBC">
        <w:t>Helmerhorst</w:t>
      </w:r>
      <w:proofErr w:type="spellEnd"/>
      <w:r w:rsidRPr="00567EBC">
        <w:t xml:space="preserve"> FM, Vandenbroucke JP, </w:t>
      </w:r>
      <w:proofErr w:type="spellStart"/>
      <w:r w:rsidRPr="00567EBC">
        <w:t>Doggen</w:t>
      </w:r>
      <w:proofErr w:type="spellEnd"/>
      <w:r w:rsidRPr="00567EBC">
        <w:t xml:space="preserve"> CJ, </w:t>
      </w:r>
      <w:proofErr w:type="spellStart"/>
      <w:r w:rsidRPr="00567EBC">
        <w:t>Rosendaal</w:t>
      </w:r>
      <w:proofErr w:type="spellEnd"/>
      <w:r w:rsidRPr="00567EBC">
        <w:t xml:space="preserve"> FR. The venous thrombotic risk of oral contraceptives, effects of oestrogen dose and progestogen type: results of the MEGA case-control study. BMJ. 2009 Aug 13;339:b2921. </w:t>
      </w:r>
      <w:hyperlink r:id="rId26" w:history="1">
        <w:r w:rsidRPr="00CC65C3">
          <w:rPr>
            <w:rStyle w:val="Hyperlink"/>
          </w:rPr>
          <w:t>https://www.ncbi.nlm.nih.gov/pubmed/19679614</w:t>
        </w:r>
      </w:hyperlink>
      <w:r>
        <w:t xml:space="preserve"> </w:t>
      </w:r>
    </w:p>
    <w:p w14:paraId="7CAC8504" w14:textId="77777777" w:rsidR="00457199" w:rsidRPr="00567EBC" w:rsidRDefault="00457199" w:rsidP="004671A4">
      <w:pPr>
        <w:pStyle w:val="EndnoteText"/>
        <w:spacing w:before="0" w:after="0"/>
      </w:pPr>
      <w:r w:rsidRPr="00567EBC">
        <w:tab/>
        <w:t>Triphasic- progestin/</w:t>
      </w:r>
      <w:proofErr w:type="spellStart"/>
      <w:r w:rsidRPr="00567EBC">
        <w:t>estrogen</w:t>
      </w:r>
      <w:proofErr w:type="spellEnd"/>
      <w:r w:rsidRPr="00567EBC">
        <w:t xml:space="preserve"> combination pills (therapeutic class): Lidegaard Ø, Nielsen LH, Skovlund CW, </w:t>
      </w:r>
      <w:proofErr w:type="spellStart"/>
      <w:r w:rsidRPr="00567EBC">
        <w:t>Skjeldestad</w:t>
      </w:r>
      <w:proofErr w:type="spellEnd"/>
      <w:r w:rsidRPr="00567EBC">
        <w:t xml:space="preserve"> FE, Løkkegaard E. Risk of venous thromboembolism from use of oral contraceptives containing different progestogens and oestrogen doses: Danish cohort study, 2001-9. BMJ. 2011 Oct 25;343:d6423. </w:t>
      </w:r>
      <w:hyperlink r:id="rId27" w:history="1">
        <w:r w:rsidRPr="00CC65C3">
          <w:rPr>
            <w:rStyle w:val="Hyperlink"/>
          </w:rPr>
          <w:t>https://www.ncbi.nlm.nih.gov/pubmed/22027398</w:t>
        </w:r>
      </w:hyperlink>
      <w:r>
        <w:t xml:space="preserve"> </w:t>
      </w:r>
    </w:p>
  </w:endnote>
  <w:endnote w:id="20">
    <w:p w14:paraId="0177F0BB" w14:textId="01FBD748" w:rsidR="00457199" w:rsidRPr="00567EBC" w:rsidRDefault="00457199" w:rsidP="004671A4">
      <w:pPr>
        <w:pStyle w:val="EndnoteText"/>
        <w:spacing w:before="0" w:after="0"/>
      </w:pPr>
      <w:r w:rsidRPr="006B0668">
        <w:rPr>
          <w:rStyle w:val="EndnoteReference"/>
        </w:rPr>
        <w:endnoteRef/>
      </w:r>
      <w:r w:rsidRPr="00567EBC">
        <w:tab/>
        <w:t xml:space="preserve">Progestin-only pill (contra-indication: myocardial infarction): </w:t>
      </w:r>
      <w:r w:rsidRPr="002C2556">
        <w:t>South African Medicines Formulary, 14th Edition.  Division of Clinical Pharmacology.  University of Cape Town, 2022.</w:t>
      </w:r>
    </w:p>
  </w:endnote>
  <w:endnote w:id="21">
    <w:p w14:paraId="45A3A4D6" w14:textId="3D4D622B" w:rsidR="00457199" w:rsidRPr="00567EBC" w:rsidRDefault="00457199" w:rsidP="00542C62">
      <w:pPr>
        <w:pStyle w:val="EndnoteText"/>
        <w:spacing w:before="0" w:after="0"/>
      </w:pPr>
      <w:r w:rsidRPr="006B0668">
        <w:rPr>
          <w:rStyle w:val="EndnoteReference"/>
        </w:rPr>
        <w:endnoteRef/>
      </w:r>
      <w:r w:rsidRPr="00567EBC">
        <w:tab/>
      </w:r>
      <w:r>
        <w:t>Dual contraception</w:t>
      </w:r>
      <w:r w:rsidRPr="00567EBC">
        <w:t xml:space="preserve"> </w:t>
      </w:r>
      <w:r>
        <w:t xml:space="preserve">for at least 7 days </w:t>
      </w:r>
      <w:r w:rsidRPr="00567EBC">
        <w:t>(miss</w:t>
      </w:r>
      <w:r>
        <w:t>ed</w:t>
      </w:r>
      <w:r w:rsidRPr="00567EBC">
        <w:t xml:space="preserve"> pills): </w:t>
      </w:r>
      <w:r w:rsidRPr="002C2556">
        <w:t>South African Medicines Formulary, 14th Edition.  Division of Clinical Pharmacology.  University of Cape Town, 2022.</w:t>
      </w:r>
    </w:p>
  </w:endnote>
  <w:endnote w:id="22">
    <w:p w14:paraId="715AD63A" w14:textId="5412FDFA" w:rsidR="00457199" w:rsidRPr="00567EBC" w:rsidRDefault="00457199" w:rsidP="004671A4">
      <w:pPr>
        <w:pStyle w:val="EndnoteText"/>
        <w:spacing w:before="0" w:after="0"/>
      </w:pPr>
      <w:r w:rsidRPr="006B0668">
        <w:rPr>
          <w:rStyle w:val="EndnoteReference"/>
        </w:rPr>
        <w:endnoteRef/>
      </w:r>
      <w:r w:rsidRPr="00567EBC">
        <w:tab/>
        <w:t>Combined oral contraceptives (missing pills): National Contraception and Fertility Planning and S</w:t>
      </w:r>
      <w:r>
        <w:t>ervice Delivery Guidelines, 2019 (Draft format).</w:t>
      </w:r>
    </w:p>
  </w:endnote>
  <w:endnote w:id="23">
    <w:p w14:paraId="545FE759" w14:textId="551CAD36" w:rsidR="00457199" w:rsidRPr="00567EBC" w:rsidRDefault="00457199" w:rsidP="00542C62">
      <w:pPr>
        <w:pStyle w:val="EndnoteText"/>
        <w:spacing w:before="0" w:after="0"/>
      </w:pPr>
      <w:r w:rsidRPr="006B0668">
        <w:rPr>
          <w:rStyle w:val="EndnoteReference"/>
        </w:rPr>
        <w:endnoteRef/>
      </w:r>
      <w:r w:rsidRPr="00567EBC">
        <w:tab/>
      </w:r>
      <w:r>
        <w:t>Dual contraception</w:t>
      </w:r>
      <w:r w:rsidRPr="00567EBC">
        <w:t xml:space="preserve"> </w:t>
      </w:r>
      <w:r>
        <w:t xml:space="preserve">for at least 7 days </w:t>
      </w:r>
      <w:r w:rsidRPr="00567EBC">
        <w:t>(miss</w:t>
      </w:r>
      <w:r>
        <w:t>ed</w:t>
      </w:r>
      <w:r w:rsidRPr="00567EBC">
        <w:t xml:space="preserve"> pills): </w:t>
      </w:r>
      <w:r w:rsidRPr="002C2556">
        <w:t>South African Medicines Formulary, 14th Edition.  Division of Clinical Pharmacology.  University of Cape Town, 2022.</w:t>
      </w:r>
    </w:p>
  </w:endnote>
  <w:endnote w:id="24">
    <w:p w14:paraId="5D5A70B8" w14:textId="77777777" w:rsidR="00911C8B" w:rsidRPr="009712DF" w:rsidRDefault="00911C8B" w:rsidP="002C7F69">
      <w:pPr>
        <w:pStyle w:val="EndnoteText"/>
        <w:tabs>
          <w:tab w:val="left" w:pos="90"/>
        </w:tabs>
        <w:spacing w:before="0" w:after="0"/>
        <w:rPr>
          <w:rFonts w:cs="Arial"/>
          <w:spacing w:val="-2"/>
          <w:szCs w:val="12"/>
        </w:rPr>
      </w:pPr>
      <w:r w:rsidRPr="009712DF">
        <w:rPr>
          <w:rStyle w:val="EndnoteReference"/>
          <w:rFonts w:cs="Arial"/>
          <w:spacing w:val="-2"/>
        </w:rPr>
        <w:endnoteRef/>
      </w:r>
      <w:r w:rsidRPr="009712DF">
        <w:rPr>
          <w:rFonts w:cs="Arial"/>
          <w:spacing w:val="-2"/>
          <w:szCs w:val="12"/>
        </w:rPr>
        <w:t xml:space="preserve">Copper IUD (emergency contraception): Turok DK, Jacobson JC, </w:t>
      </w:r>
      <w:proofErr w:type="spellStart"/>
      <w:r w:rsidRPr="009712DF">
        <w:rPr>
          <w:rFonts w:cs="Arial"/>
          <w:spacing w:val="-2"/>
          <w:szCs w:val="12"/>
        </w:rPr>
        <w:t>Dermish</w:t>
      </w:r>
      <w:proofErr w:type="spellEnd"/>
      <w:r w:rsidRPr="009712DF">
        <w:rPr>
          <w:rFonts w:cs="Arial"/>
          <w:spacing w:val="-2"/>
          <w:szCs w:val="12"/>
        </w:rPr>
        <w:t xml:space="preserve"> AI, Simonsen SE, </w:t>
      </w:r>
      <w:proofErr w:type="spellStart"/>
      <w:r w:rsidRPr="009712DF">
        <w:rPr>
          <w:rFonts w:cs="Arial"/>
          <w:spacing w:val="-2"/>
          <w:szCs w:val="12"/>
        </w:rPr>
        <w:t>Gurtcheff</w:t>
      </w:r>
      <w:proofErr w:type="spellEnd"/>
      <w:r w:rsidRPr="009712DF">
        <w:rPr>
          <w:rFonts w:cs="Arial"/>
          <w:spacing w:val="-2"/>
          <w:szCs w:val="12"/>
        </w:rPr>
        <w:t xml:space="preserve"> S, McFadden M, Murphy PA. Emergency contraception with a copper IUD or oral levonorgestrel: an observational study of 1-year pregnancy rates. Contraception. 2014 Mar;89(3):222-8. </w:t>
      </w:r>
      <w:hyperlink r:id="rId28" w:history="1">
        <w:r w:rsidRPr="009712DF">
          <w:rPr>
            <w:rStyle w:val="Hyperlink"/>
            <w:rFonts w:cs="Arial"/>
            <w:spacing w:val="-2"/>
            <w:szCs w:val="12"/>
          </w:rPr>
          <w:t>https://pubmed.ncbi.nlm.nih.gov/24332433/</w:t>
        </w:r>
      </w:hyperlink>
      <w:r w:rsidRPr="009712DF">
        <w:rPr>
          <w:rFonts w:cs="Arial"/>
          <w:spacing w:val="-2"/>
          <w:szCs w:val="12"/>
        </w:rPr>
        <w:t xml:space="preserve"> </w:t>
      </w:r>
    </w:p>
    <w:p w14:paraId="71A321ED" w14:textId="77777777" w:rsidR="00911C8B" w:rsidRPr="009712DF" w:rsidRDefault="00911C8B" w:rsidP="002C7F69">
      <w:pPr>
        <w:pStyle w:val="EndnoteText"/>
        <w:tabs>
          <w:tab w:val="left" w:pos="90"/>
        </w:tabs>
        <w:spacing w:before="0" w:after="0"/>
        <w:rPr>
          <w:spacing w:val="-2"/>
          <w:szCs w:val="12"/>
        </w:rPr>
      </w:pPr>
      <w:r w:rsidRPr="009712DF">
        <w:rPr>
          <w:rFonts w:cs="Arial"/>
          <w:spacing w:val="-2"/>
          <w:szCs w:val="12"/>
        </w:rPr>
        <w:tab/>
        <w:t xml:space="preserve">Copper IUD (emergency contraception): FSRH Guideline (April 2019) Overweight, Obesity and Contraception. BMJ Sex </w:t>
      </w:r>
      <w:proofErr w:type="spellStart"/>
      <w:r w:rsidRPr="009712DF">
        <w:rPr>
          <w:rFonts w:cs="Arial"/>
          <w:spacing w:val="-2"/>
          <w:szCs w:val="12"/>
        </w:rPr>
        <w:t>Reprod</w:t>
      </w:r>
      <w:proofErr w:type="spellEnd"/>
      <w:r w:rsidRPr="009712DF">
        <w:rPr>
          <w:rFonts w:cs="Arial"/>
          <w:spacing w:val="-2"/>
          <w:szCs w:val="12"/>
        </w:rPr>
        <w:t xml:space="preserve"> Health. 2019 Apr;45(</w:t>
      </w:r>
      <w:proofErr w:type="spellStart"/>
      <w:r w:rsidRPr="009712DF">
        <w:rPr>
          <w:rFonts w:cs="Arial"/>
          <w:spacing w:val="-2"/>
          <w:szCs w:val="12"/>
        </w:rPr>
        <w:t>Suppl</w:t>
      </w:r>
      <w:proofErr w:type="spellEnd"/>
      <w:r w:rsidRPr="009712DF">
        <w:rPr>
          <w:rFonts w:cs="Arial"/>
          <w:spacing w:val="-2"/>
          <w:szCs w:val="12"/>
        </w:rPr>
        <w:t xml:space="preserve"> 2):1-69. </w:t>
      </w:r>
      <w:hyperlink r:id="rId29" w:history="1">
        <w:r w:rsidRPr="009712DF">
          <w:rPr>
            <w:rStyle w:val="Hyperlink"/>
            <w:rFonts w:cs="Arial"/>
            <w:spacing w:val="-2"/>
            <w:szCs w:val="12"/>
          </w:rPr>
          <w:t>https://pubmed.ncbi.nlm.nih.gov/31053605/</w:t>
        </w:r>
      </w:hyperlink>
      <w:r w:rsidRPr="009712DF">
        <w:rPr>
          <w:rFonts w:cs="Arial"/>
          <w:spacing w:val="-2"/>
          <w:szCs w:val="12"/>
        </w:rPr>
        <w:t xml:space="preserve"> </w:t>
      </w:r>
    </w:p>
  </w:endnote>
  <w:endnote w:id="25">
    <w:p w14:paraId="1A596E32" w14:textId="77777777" w:rsidR="00911C8B" w:rsidRPr="009712DF" w:rsidRDefault="00911C8B" w:rsidP="002C7F69">
      <w:pPr>
        <w:pStyle w:val="EndnoteText"/>
        <w:tabs>
          <w:tab w:val="left" w:pos="90"/>
        </w:tabs>
        <w:spacing w:before="0" w:after="0"/>
        <w:rPr>
          <w:spacing w:val="-2"/>
          <w:szCs w:val="12"/>
        </w:rPr>
      </w:pPr>
      <w:r w:rsidRPr="009712DF">
        <w:rPr>
          <w:rStyle w:val="EndnoteReference"/>
          <w:rFonts w:cs="Arial"/>
          <w:spacing w:val="-2"/>
        </w:rPr>
        <w:endnoteRef/>
      </w:r>
      <w:r w:rsidRPr="009712DF">
        <w:rPr>
          <w:rFonts w:cs="Arial"/>
          <w:spacing w:val="-2"/>
          <w:szCs w:val="12"/>
        </w:rPr>
        <w:t xml:space="preserve">Levonorgestrel 1.5 mg oral (emergency contraception): Shen J, Che Y, Showell E, Chen K, Cheng L. Interventions for emergency contraception. Cochrane Database </w:t>
      </w:r>
      <w:proofErr w:type="spellStart"/>
      <w:r w:rsidRPr="009712DF">
        <w:rPr>
          <w:rFonts w:cs="Arial"/>
          <w:spacing w:val="-2"/>
          <w:szCs w:val="12"/>
        </w:rPr>
        <w:t>Syst</w:t>
      </w:r>
      <w:proofErr w:type="spellEnd"/>
      <w:r w:rsidRPr="009712DF">
        <w:rPr>
          <w:rFonts w:cs="Arial"/>
          <w:spacing w:val="-2"/>
          <w:szCs w:val="12"/>
        </w:rPr>
        <w:t xml:space="preserve"> Rev. 2019 Jan 20;1(1):CD001324. </w:t>
      </w:r>
      <w:r w:rsidRPr="009712DF">
        <w:rPr>
          <w:rStyle w:val="Hyperlink"/>
          <w:rFonts w:cs="Arial"/>
          <w:spacing w:val="-2"/>
          <w:szCs w:val="12"/>
        </w:rPr>
        <w:t>https://pubmed.ncbi.nlm.nih.gov/30661244/</w:t>
      </w:r>
    </w:p>
  </w:endnote>
  <w:endnote w:id="26">
    <w:p w14:paraId="3FAD991B" w14:textId="77777777" w:rsidR="002D5EAB" w:rsidRDefault="00911C8B" w:rsidP="002C7F69">
      <w:pPr>
        <w:pStyle w:val="EndnoteText"/>
        <w:spacing w:before="0" w:after="0"/>
        <w:rPr>
          <w:rStyle w:val="Hyperlink"/>
          <w:rFonts w:cs="Arial"/>
          <w:spacing w:val="-2"/>
          <w:szCs w:val="12"/>
        </w:rPr>
      </w:pPr>
      <w:r w:rsidRPr="009712DF">
        <w:rPr>
          <w:rStyle w:val="EndnoteReference"/>
        </w:rPr>
        <w:endnoteRef/>
      </w:r>
      <w:proofErr w:type="spellStart"/>
      <w:r w:rsidR="002D5EAB" w:rsidRPr="009712DF">
        <w:rPr>
          <w:szCs w:val="12"/>
        </w:rPr>
        <w:t>Levonorgesterol</w:t>
      </w:r>
      <w:proofErr w:type="spellEnd"/>
      <w:r w:rsidR="002D5EAB" w:rsidRPr="009712DF">
        <w:rPr>
          <w:szCs w:val="12"/>
        </w:rPr>
        <w:t xml:space="preserve">, oral - emergency contraception (double dose): </w:t>
      </w:r>
      <w:r w:rsidR="002D5EAB" w:rsidRPr="009712DF">
        <w:rPr>
          <w:rFonts w:cs="Arial"/>
          <w:spacing w:val="-2"/>
          <w:szCs w:val="12"/>
        </w:rPr>
        <w:t xml:space="preserve">FSRH Guideline (April 2019) Overweight, Obesity and Contraception. BMJ Sex </w:t>
      </w:r>
      <w:proofErr w:type="spellStart"/>
      <w:r w:rsidR="002D5EAB" w:rsidRPr="009712DF">
        <w:rPr>
          <w:rFonts w:cs="Arial"/>
          <w:spacing w:val="-2"/>
          <w:szCs w:val="12"/>
        </w:rPr>
        <w:t>Reprod</w:t>
      </w:r>
      <w:proofErr w:type="spellEnd"/>
      <w:r w:rsidR="002D5EAB" w:rsidRPr="009712DF">
        <w:rPr>
          <w:rFonts w:cs="Arial"/>
          <w:spacing w:val="-2"/>
          <w:szCs w:val="12"/>
        </w:rPr>
        <w:t xml:space="preserve"> Health. 2019 Apr;45(</w:t>
      </w:r>
      <w:proofErr w:type="spellStart"/>
      <w:r w:rsidR="002D5EAB" w:rsidRPr="009712DF">
        <w:rPr>
          <w:rFonts w:cs="Arial"/>
          <w:spacing w:val="-2"/>
          <w:szCs w:val="12"/>
        </w:rPr>
        <w:t>Suppl</w:t>
      </w:r>
      <w:proofErr w:type="spellEnd"/>
      <w:r w:rsidR="002D5EAB" w:rsidRPr="009712DF">
        <w:rPr>
          <w:rFonts w:cs="Arial"/>
          <w:spacing w:val="-2"/>
          <w:szCs w:val="12"/>
        </w:rPr>
        <w:t xml:space="preserve"> 2):1-69. </w:t>
      </w:r>
      <w:hyperlink r:id="rId30" w:history="1">
        <w:r w:rsidR="002D5EAB" w:rsidRPr="009712DF">
          <w:rPr>
            <w:rStyle w:val="Hyperlink"/>
            <w:rFonts w:cs="Arial"/>
            <w:spacing w:val="-2"/>
            <w:szCs w:val="12"/>
          </w:rPr>
          <w:t>https://pubmed.ncbi.nlm.nih.gov/31053605/</w:t>
        </w:r>
      </w:hyperlink>
    </w:p>
    <w:p w14:paraId="0E42C3AA" w14:textId="65573921" w:rsidR="00361F1A" w:rsidRDefault="00361F1A" w:rsidP="00361F1A">
      <w:pPr>
        <w:pStyle w:val="EndnoteText"/>
        <w:tabs>
          <w:tab w:val="left" w:pos="90"/>
        </w:tabs>
        <w:spacing w:before="0" w:after="0"/>
        <w:rPr>
          <w:szCs w:val="12"/>
        </w:rPr>
      </w:pPr>
      <w:r>
        <w:rPr>
          <w:rFonts w:cs="Arial"/>
          <w:spacing w:val="-2"/>
          <w:szCs w:val="12"/>
        </w:rPr>
        <w:tab/>
      </w:r>
      <w:proofErr w:type="spellStart"/>
      <w:r w:rsidR="00911C8B" w:rsidRPr="0019085B">
        <w:rPr>
          <w:rFonts w:cs="Arial"/>
          <w:spacing w:val="-2"/>
          <w:szCs w:val="12"/>
        </w:rPr>
        <w:t>Levonorgesterol</w:t>
      </w:r>
      <w:proofErr w:type="spellEnd"/>
      <w:r w:rsidR="00911C8B" w:rsidRPr="009712DF">
        <w:rPr>
          <w:szCs w:val="12"/>
        </w:rPr>
        <w:t>, oral - emergency contraception (double dose):</w:t>
      </w:r>
      <w:r w:rsidR="0019085B" w:rsidRPr="0019085B">
        <w:rPr>
          <w:szCs w:val="12"/>
        </w:rPr>
        <w:t xml:space="preserve"> Turok DK, Jacobson JC, </w:t>
      </w:r>
      <w:proofErr w:type="spellStart"/>
      <w:r w:rsidR="0019085B" w:rsidRPr="0019085B">
        <w:rPr>
          <w:szCs w:val="12"/>
        </w:rPr>
        <w:t>Dermish</w:t>
      </w:r>
      <w:proofErr w:type="spellEnd"/>
      <w:r w:rsidR="0019085B" w:rsidRPr="0019085B">
        <w:rPr>
          <w:szCs w:val="12"/>
        </w:rPr>
        <w:t xml:space="preserve"> AI, Simonsen SE, </w:t>
      </w:r>
      <w:proofErr w:type="spellStart"/>
      <w:r w:rsidR="0019085B" w:rsidRPr="0019085B">
        <w:rPr>
          <w:szCs w:val="12"/>
        </w:rPr>
        <w:t>Gurtcheff</w:t>
      </w:r>
      <w:proofErr w:type="spellEnd"/>
      <w:r w:rsidR="0019085B" w:rsidRPr="0019085B">
        <w:rPr>
          <w:szCs w:val="12"/>
        </w:rPr>
        <w:t xml:space="preserve"> S, McFadden M, Murphy PA. Emergency contraception with a copper IUD or oral levonorgestrel: an observational study of 1-year pregnancy rates. Contraception. 2014 Mar;89(3):222-8. </w:t>
      </w:r>
      <w:hyperlink r:id="rId31" w:history="1">
        <w:r w:rsidR="0019085B" w:rsidRPr="00FD0C61">
          <w:rPr>
            <w:rStyle w:val="Hyperlink"/>
            <w:szCs w:val="12"/>
          </w:rPr>
          <w:t>https://pubmed.ncbi.nlm.nih.gov/24332433/</w:t>
        </w:r>
      </w:hyperlink>
    </w:p>
    <w:p w14:paraId="49F2C9C3" w14:textId="5B9BF018" w:rsidR="0019085B" w:rsidRDefault="00361F1A" w:rsidP="00361F1A">
      <w:pPr>
        <w:pStyle w:val="EndnoteText"/>
        <w:tabs>
          <w:tab w:val="left" w:pos="90"/>
        </w:tabs>
        <w:spacing w:before="0" w:after="0"/>
        <w:rPr>
          <w:szCs w:val="12"/>
        </w:rPr>
      </w:pPr>
      <w:r>
        <w:rPr>
          <w:szCs w:val="12"/>
        </w:rPr>
        <w:tab/>
      </w:r>
      <w:proofErr w:type="spellStart"/>
      <w:r w:rsidRPr="005D6874">
        <w:rPr>
          <w:rFonts w:cs="Arial"/>
          <w:spacing w:val="-2"/>
          <w:szCs w:val="12"/>
        </w:rPr>
        <w:t>Levonorgesterol</w:t>
      </w:r>
      <w:proofErr w:type="spellEnd"/>
      <w:r w:rsidRPr="009712DF">
        <w:rPr>
          <w:szCs w:val="12"/>
        </w:rPr>
        <w:t xml:space="preserve">, oral - emergency contraception (double dose): </w:t>
      </w:r>
      <w:r w:rsidR="0019085B" w:rsidRPr="0019085B">
        <w:rPr>
          <w:szCs w:val="12"/>
        </w:rPr>
        <w:t xml:space="preserve">Edelman AB, </w:t>
      </w:r>
      <w:proofErr w:type="spellStart"/>
      <w:r w:rsidR="0019085B" w:rsidRPr="0019085B">
        <w:rPr>
          <w:szCs w:val="12"/>
        </w:rPr>
        <w:t>Cherala</w:t>
      </w:r>
      <w:proofErr w:type="spellEnd"/>
      <w:r w:rsidR="0019085B" w:rsidRPr="0019085B">
        <w:rPr>
          <w:szCs w:val="12"/>
        </w:rPr>
        <w:t xml:space="preserve"> G, Blue SW, Erikson DW, Jensen JT. Impact of obesity on the pharmacokinetics of levonorgestrel-based emergency contraception: single and double dosing. Contraception. 2016 Jul;94(1):52-7. </w:t>
      </w:r>
      <w:hyperlink r:id="rId32" w:history="1">
        <w:r w:rsidR="0019085B" w:rsidRPr="00FD0C61">
          <w:rPr>
            <w:rStyle w:val="Hyperlink"/>
            <w:szCs w:val="12"/>
          </w:rPr>
          <w:t>https://pubmed.ncbi.nlm.nih.gov/27000996/</w:t>
        </w:r>
      </w:hyperlink>
      <w:r w:rsidR="0019085B">
        <w:rPr>
          <w:szCs w:val="12"/>
        </w:rPr>
        <w:t xml:space="preserve"> </w:t>
      </w:r>
    </w:p>
    <w:p w14:paraId="0856A8C8" w14:textId="2BA57362" w:rsidR="0019085B" w:rsidRDefault="0019085B" w:rsidP="00361F1A">
      <w:pPr>
        <w:pStyle w:val="EndnoteText"/>
        <w:tabs>
          <w:tab w:val="left" w:pos="90"/>
        </w:tabs>
        <w:spacing w:before="0" w:after="0"/>
        <w:rPr>
          <w:szCs w:val="12"/>
        </w:rPr>
      </w:pPr>
      <w:r>
        <w:rPr>
          <w:szCs w:val="12"/>
        </w:rPr>
        <w:tab/>
      </w:r>
      <w:proofErr w:type="spellStart"/>
      <w:r w:rsidRPr="005D6874">
        <w:rPr>
          <w:rFonts w:cs="Arial"/>
          <w:spacing w:val="-2"/>
          <w:szCs w:val="12"/>
        </w:rPr>
        <w:t>Levonorgesterol</w:t>
      </w:r>
      <w:proofErr w:type="spellEnd"/>
      <w:r w:rsidRPr="009712DF">
        <w:rPr>
          <w:szCs w:val="12"/>
        </w:rPr>
        <w:t>, oral - emergency contraception (double dose):</w:t>
      </w:r>
      <w:r>
        <w:rPr>
          <w:szCs w:val="12"/>
        </w:rPr>
        <w:t xml:space="preserve"> </w:t>
      </w:r>
      <w:r w:rsidRPr="0019085B">
        <w:rPr>
          <w:szCs w:val="12"/>
        </w:rPr>
        <w:t xml:space="preserve">Edelman AB, </w:t>
      </w:r>
      <w:proofErr w:type="spellStart"/>
      <w:r w:rsidRPr="0019085B">
        <w:rPr>
          <w:szCs w:val="12"/>
        </w:rPr>
        <w:t>Hennebold</w:t>
      </w:r>
      <w:proofErr w:type="spellEnd"/>
      <w:r w:rsidRPr="0019085B">
        <w:rPr>
          <w:szCs w:val="12"/>
        </w:rPr>
        <w:t xml:space="preserve"> JD, Bond KPM, Lim JY, </w:t>
      </w:r>
      <w:proofErr w:type="spellStart"/>
      <w:r w:rsidRPr="0019085B">
        <w:rPr>
          <w:szCs w:val="12"/>
        </w:rPr>
        <w:t>Cherala</w:t>
      </w:r>
      <w:proofErr w:type="spellEnd"/>
      <w:r w:rsidRPr="0019085B">
        <w:rPr>
          <w:szCs w:val="12"/>
        </w:rPr>
        <w:t xml:space="preserve"> G, Archer DF et al. Double Dosing Levonorgestrel-Based Emergency Contraception for Individuals With Obesity, Obstetrics &amp; </w:t>
      </w:r>
      <w:proofErr w:type="spellStart"/>
      <w:r w:rsidRPr="0019085B">
        <w:rPr>
          <w:szCs w:val="12"/>
        </w:rPr>
        <w:t>Gynecology</w:t>
      </w:r>
      <w:proofErr w:type="spellEnd"/>
      <w:r w:rsidRPr="0019085B">
        <w:rPr>
          <w:szCs w:val="12"/>
        </w:rPr>
        <w:t xml:space="preserve">: June 9, 2022 - Volume - Issue - 10.1097/AOG.0000000000004717 </w:t>
      </w:r>
      <w:hyperlink r:id="rId33" w:history="1">
        <w:proofErr w:type="spellStart"/>
        <w:r w:rsidRPr="0019085B">
          <w:rPr>
            <w:rStyle w:val="Hyperlink"/>
            <w:szCs w:val="12"/>
          </w:rPr>
          <w:t>doi</w:t>
        </w:r>
        <w:proofErr w:type="spellEnd"/>
        <w:r w:rsidRPr="0019085B">
          <w:rPr>
            <w:rStyle w:val="Hyperlink"/>
            <w:szCs w:val="12"/>
          </w:rPr>
          <w:t>: 10.1097/AOG.0000000000004717</w:t>
        </w:r>
      </w:hyperlink>
      <w:r>
        <w:rPr>
          <w:szCs w:val="12"/>
        </w:rPr>
        <w:t xml:space="preserve"> </w:t>
      </w:r>
    </w:p>
    <w:p w14:paraId="4A8A5A6F" w14:textId="77777777" w:rsidR="0019085B" w:rsidRDefault="00911C8B" w:rsidP="0019085B">
      <w:pPr>
        <w:pStyle w:val="EndnoteText"/>
        <w:tabs>
          <w:tab w:val="left" w:pos="90"/>
        </w:tabs>
        <w:spacing w:before="0" w:after="0"/>
        <w:rPr>
          <w:szCs w:val="12"/>
        </w:rPr>
      </w:pPr>
      <w:r>
        <w:rPr>
          <w:szCs w:val="12"/>
        </w:rPr>
        <w:tab/>
      </w:r>
      <w:proofErr w:type="spellStart"/>
      <w:r w:rsidRPr="009712DF">
        <w:rPr>
          <w:szCs w:val="12"/>
        </w:rPr>
        <w:t>Levonorgesterol</w:t>
      </w:r>
      <w:proofErr w:type="spellEnd"/>
      <w:r w:rsidRPr="009712DF">
        <w:rPr>
          <w:szCs w:val="12"/>
        </w:rPr>
        <w:t xml:space="preserve">, oral - emergency contraception (double dose): </w:t>
      </w:r>
      <w:proofErr w:type="spellStart"/>
      <w:r w:rsidRPr="009712DF">
        <w:rPr>
          <w:szCs w:val="12"/>
        </w:rPr>
        <w:t>Jatlaoui</w:t>
      </w:r>
      <w:proofErr w:type="spellEnd"/>
      <w:r w:rsidRPr="009712DF">
        <w:rPr>
          <w:szCs w:val="12"/>
        </w:rPr>
        <w:t xml:space="preserve"> TC and Curtis KM. Safety and effectiveness data for emergency contraceptive pills among women with obesity: a systematic review. Contraception 94 (2016) 605–611. </w:t>
      </w:r>
      <w:hyperlink r:id="rId34" w:history="1">
        <w:r w:rsidRPr="009712DF">
          <w:rPr>
            <w:rStyle w:val="Hyperlink"/>
            <w:szCs w:val="12"/>
          </w:rPr>
          <w:t>https://www.ncbi.nlm.nih.gov/pubmed/27234874</w:t>
        </w:r>
      </w:hyperlink>
      <w:r>
        <w:t xml:space="preserve"> </w:t>
      </w:r>
      <w:r w:rsidR="0019085B">
        <w:rPr>
          <w:szCs w:val="12"/>
        </w:rPr>
        <w:tab/>
      </w:r>
      <w:r w:rsidR="0019085B" w:rsidRPr="009712DF">
        <w:rPr>
          <w:szCs w:val="12"/>
        </w:rPr>
        <w:t xml:space="preserve"> </w:t>
      </w:r>
    </w:p>
    <w:p w14:paraId="63AA947F" w14:textId="15C4EA31" w:rsidR="0019085B" w:rsidRPr="009712DF" w:rsidRDefault="0019085B" w:rsidP="0019085B">
      <w:pPr>
        <w:pStyle w:val="EndnoteText"/>
        <w:tabs>
          <w:tab w:val="left" w:pos="90"/>
        </w:tabs>
        <w:spacing w:before="0" w:after="0"/>
        <w:rPr>
          <w:szCs w:val="12"/>
        </w:rPr>
      </w:pPr>
      <w:r>
        <w:rPr>
          <w:szCs w:val="12"/>
        </w:rPr>
        <w:tab/>
      </w:r>
      <w:proofErr w:type="spellStart"/>
      <w:r w:rsidRPr="009712DF">
        <w:rPr>
          <w:szCs w:val="12"/>
        </w:rPr>
        <w:t>Levonorgesterol</w:t>
      </w:r>
      <w:proofErr w:type="spellEnd"/>
      <w:r w:rsidRPr="009712DF">
        <w:rPr>
          <w:szCs w:val="12"/>
        </w:rPr>
        <w:t xml:space="preserve">, oral - emergency contraception (double dose): Carten ML, Kiser JJ, </w:t>
      </w:r>
      <w:proofErr w:type="spellStart"/>
      <w:r w:rsidRPr="009712DF">
        <w:rPr>
          <w:szCs w:val="12"/>
        </w:rPr>
        <w:t>Kwara</w:t>
      </w:r>
      <w:proofErr w:type="spellEnd"/>
      <w:r w:rsidRPr="009712DF">
        <w:rPr>
          <w:szCs w:val="12"/>
        </w:rPr>
        <w:t xml:space="preserve"> A, Mawhinney S, Cu-Uvin S. Pharmacokinetic interactions between the hormonal emergency contraception, levonorgestrel (Plan B), and Efavirenz. Infect Dis </w:t>
      </w:r>
      <w:proofErr w:type="spellStart"/>
      <w:r w:rsidRPr="009712DF">
        <w:rPr>
          <w:szCs w:val="12"/>
        </w:rPr>
        <w:t>Obstet</w:t>
      </w:r>
      <w:proofErr w:type="spellEnd"/>
      <w:r w:rsidRPr="009712DF">
        <w:rPr>
          <w:szCs w:val="12"/>
        </w:rPr>
        <w:t xml:space="preserve"> Gynecol. 2012;2012:137192. </w:t>
      </w:r>
      <w:hyperlink r:id="rId35" w:history="1">
        <w:r w:rsidRPr="009712DF">
          <w:rPr>
            <w:rStyle w:val="Hyperlink"/>
            <w:szCs w:val="12"/>
          </w:rPr>
          <w:t>http://www.ncbi.nlm.nih.gov/pubmed/22536010</w:t>
        </w:r>
      </w:hyperlink>
      <w:r w:rsidRPr="009712DF">
        <w:rPr>
          <w:szCs w:val="12"/>
        </w:rPr>
        <w:t xml:space="preserve"> </w:t>
      </w:r>
    </w:p>
    <w:p w14:paraId="4AD9406D" w14:textId="58D26CF8" w:rsidR="002D5EAB" w:rsidRPr="00361F1A" w:rsidRDefault="0019085B" w:rsidP="002C7F69">
      <w:pPr>
        <w:pStyle w:val="EndnoteText"/>
        <w:tabs>
          <w:tab w:val="left" w:pos="142"/>
        </w:tabs>
        <w:spacing w:before="0" w:after="0"/>
        <w:rPr>
          <w:rFonts w:cs="Arial"/>
          <w:color w:val="0563C1" w:themeColor="hyperlink"/>
          <w:spacing w:val="-2"/>
          <w:szCs w:val="12"/>
          <w:u w:val="single"/>
        </w:rPr>
      </w:pPr>
      <w:r>
        <w:rPr>
          <w:szCs w:val="12"/>
        </w:rPr>
        <w:tab/>
      </w:r>
      <w:proofErr w:type="spellStart"/>
      <w:r w:rsidRPr="009712DF">
        <w:rPr>
          <w:szCs w:val="12"/>
        </w:rPr>
        <w:t>Levonorgesterol</w:t>
      </w:r>
      <w:proofErr w:type="spellEnd"/>
      <w:r w:rsidRPr="009712DF">
        <w:rPr>
          <w:szCs w:val="12"/>
        </w:rPr>
        <w:t xml:space="preserve">, oral - emergency contraception (double dose): Tittle V, Bull L, </w:t>
      </w:r>
      <w:proofErr w:type="spellStart"/>
      <w:r w:rsidRPr="009712DF">
        <w:rPr>
          <w:szCs w:val="12"/>
        </w:rPr>
        <w:t>Boffito</w:t>
      </w:r>
      <w:proofErr w:type="spellEnd"/>
      <w:r w:rsidRPr="009712DF">
        <w:rPr>
          <w:szCs w:val="12"/>
        </w:rPr>
        <w:t xml:space="preserve"> M, Nwokolo N. Pharmacokinetic and pharmacodynamic drug interactions between antiretrovirals and oral contraceptives. </w:t>
      </w:r>
      <w:proofErr w:type="spellStart"/>
      <w:r w:rsidRPr="009712DF">
        <w:rPr>
          <w:szCs w:val="12"/>
        </w:rPr>
        <w:t>ClinPharmacokinet</w:t>
      </w:r>
      <w:proofErr w:type="spellEnd"/>
      <w:r w:rsidRPr="009712DF">
        <w:rPr>
          <w:szCs w:val="12"/>
        </w:rPr>
        <w:t xml:space="preserve">. 2015 Jan;54(1):23-34. </w:t>
      </w:r>
      <w:hyperlink r:id="rId36" w:history="1">
        <w:r w:rsidRPr="009712DF">
          <w:rPr>
            <w:rStyle w:val="Hyperlink"/>
            <w:szCs w:val="12"/>
          </w:rPr>
          <w:t>http://www.ncbi.nlm.nih.gov/pubmed/25331712</w:t>
        </w:r>
      </w:hyperlink>
      <w:r w:rsidRPr="009712DF">
        <w:rPr>
          <w:szCs w:val="12"/>
        </w:rPr>
        <w:t xml:space="preserve"> </w:t>
      </w:r>
    </w:p>
  </w:endnote>
  <w:endnote w:id="27">
    <w:p w14:paraId="2E9A711F" w14:textId="77777777" w:rsidR="00457199" w:rsidRPr="00567EBC" w:rsidRDefault="00457199" w:rsidP="004671A4">
      <w:pPr>
        <w:pStyle w:val="EndnoteText"/>
        <w:spacing w:before="0" w:after="0"/>
      </w:pPr>
      <w:r w:rsidRPr="0078551A">
        <w:rPr>
          <w:rStyle w:val="EndnoteReference"/>
        </w:rPr>
        <w:endnoteRef/>
      </w:r>
      <w:r w:rsidRPr="00567EBC">
        <w:tab/>
        <w:t xml:space="preserve">Voluntary sterilisation: World Health Organisation. Medical eligibility criteria for contraceptive use Fifth edition, 2015. </w:t>
      </w:r>
      <w:hyperlink r:id="rId37" w:history="1">
        <w:r w:rsidRPr="00CC65C3">
          <w:rPr>
            <w:rStyle w:val="Hyperlink"/>
          </w:rPr>
          <w:t>http://www.who.int/reproductivehealth/publications/family_planning/MEC-5/en/</w:t>
        </w:r>
      </w:hyperlink>
      <w:r>
        <w:t xml:space="preserve"> </w:t>
      </w:r>
    </w:p>
  </w:endnote>
  <w:endnote w:id="28">
    <w:p w14:paraId="75F27E63" w14:textId="77777777" w:rsidR="00457199" w:rsidRDefault="00457199" w:rsidP="004671A4">
      <w:pPr>
        <w:pStyle w:val="EndnoteText"/>
        <w:spacing w:before="0" w:after="0"/>
      </w:pPr>
      <w:r w:rsidRPr="0078551A">
        <w:rPr>
          <w:rStyle w:val="EndnoteReference"/>
        </w:rPr>
        <w:endnoteRef/>
      </w:r>
      <w:r w:rsidRPr="00567EBC">
        <w:tab/>
        <w:t xml:space="preserve">Combined oral contraceptive (containing </w:t>
      </w:r>
      <w:proofErr w:type="spellStart"/>
      <w:r w:rsidRPr="00567EBC">
        <w:t>ethinylestradiol</w:t>
      </w:r>
      <w:proofErr w:type="spellEnd"/>
      <w:r w:rsidRPr="00567EBC">
        <w:t xml:space="preserve"> 30-35 mcg) for breakthrough bleeding on progestin-only injectable contraceptives: Faculty of Sexual &amp; Reproductive Healthcare Clinical Guidance: Problematic Bleeding with Hormonal Contraception Clinical Effectiveness Unit, July 2015. </w:t>
      </w:r>
      <w:hyperlink r:id="rId38" w:history="1">
        <w:r w:rsidRPr="00462534">
          <w:rPr>
            <w:rStyle w:val="Hyperlink"/>
          </w:rPr>
          <w:t>https://www.fsrh.org/standards-and-guidance/fsrh-guidelines-and-statements/management-of-srh-issues/problematic-bleeding/</w:t>
        </w:r>
      </w:hyperlink>
    </w:p>
    <w:p w14:paraId="72E78AC8" w14:textId="25348D25" w:rsidR="00457199" w:rsidRPr="002D30E4" w:rsidRDefault="00457199" w:rsidP="00567EBC">
      <w:pPr>
        <w:pStyle w:val="EndnoteText"/>
        <w:rPr>
          <w:b/>
          <w:bCs/>
          <w:sz w:val="16"/>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3779" w14:textId="77777777" w:rsidR="00464ED9" w:rsidRDefault="00464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3902" w14:textId="3440739D" w:rsidR="00457199" w:rsidRDefault="00A81D71">
    <w:pPr>
      <w:pStyle w:val="Footer"/>
    </w:pPr>
    <w:r>
      <w:t>2020-3</w:t>
    </w:r>
    <w:r w:rsidR="00457199">
      <w:tab/>
    </w:r>
    <w:r w:rsidR="00457199">
      <w:fldChar w:fldCharType="begin"/>
    </w:r>
    <w:r w:rsidR="00457199">
      <w:instrText xml:space="preserve"> PAGE   \* MERGEFORMAT </w:instrText>
    </w:r>
    <w:r w:rsidR="00457199">
      <w:fldChar w:fldCharType="separate"/>
    </w:r>
    <w:r w:rsidR="0096565C">
      <w:rPr>
        <w:noProof/>
      </w:rPr>
      <w:t>7.13</w:t>
    </w:r>
    <w:r w:rsidR="004571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653F" w14:textId="039AB8DA" w:rsidR="00457199" w:rsidRPr="000147CD" w:rsidRDefault="00A81D71" w:rsidP="000147CD">
    <w:pPr>
      <w:pStyle w:val="Footer"/>
    </w:pPr>
    <w:r>
      <w:t>2020-3</w:t>
    </w:r>
    <w:r w:rsidR="00457199">
      <w:tab/>
    </w:r>
    <w:r w:rsidR="00457199">
      <w:fldChar w:fldCharType="begin"/>
    </w:r>
    <w:r w:rsidR="00457199">
      <w:instrText xml:space="preserve"> PAGE   \* MERGEFORMAT </w:instrText>
    </w:r>
    <w:r w:rsidR="00457199">
      <w:fldChar w:fldCharType="separate"/>
    </w:r>
    <w:r w:rsidR="0096565C">
      <w:rPr>
        <w:noProof/>
      </w:rPr>
      <w:t>7.1</w:t>
    </w:r>
    <w:r w:rsidR="004571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39FE3" w14:textId="77777777" w:rsidR="00A52B88" w:rsidRDefault="00A52B88" w:rsidP="00AD1B9A">
      <w:r>
        <w:separator/>
      </w:r>
    </w:p>
  </w:footnote>
  <w:footnote w:type="continuationSeparator" w:id="0">
    <w:p w14:paraId="3277F8CD" w14:textId="77777777" w:rsidR="00A52B88" w:rsidRDefault="00A52B88" w:rsidP="00AD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1E29" w14:textId="77777777" w:rsidR="00464ED9" w:rsidRDefault="00464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500C4" w14:textId="77777777" w:rsidR="00457199" w:rsidRDefault="00457199" w:rsidP="0005561D">
    <w:pPr>
      <w:pStyle w:val="Header"/>
    </w:pPr>
    <w:r w:rsidRPr="0005561D">
      <w:t xml:space="preserve">Chapter </w:t>
    </w:r>
    <w:r>
      <w:t>7</w:t>
    </w:r>
    <w:r w:rsidRPr="0005561D">
      <w:tab/>
    </w:r>
    <w:r w:rsidRPr="0005561D">
      <w:tab/>
    </w:r>
    <w:r>
      <w:t>Family Planning</w:t>
    </w:r>
  </w:p>
  <w:p w14:paraId="24CB36A5" w14:textId="77777777" w:rsidR="00457199" w:rsidRPr="00A56815" w:rsidRDefault="00457199" w:rsidP="00A56815">
    <w:pPr>
      <w:pStyle w:val="NoSpacing"/>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61DF" w14:textId="77777777" w:rsidR="00457199" w:rsidRPr="000147CD" w:rsidRDefault="00457199" w:rsidP="000147C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6192"/>
    <w:multiLevelType w:val="hybridMultilevel"/>
    <w:tmpl w:val="A4946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63546DB"/>
    <w:multiLevelType w:val="multilevel"/>
    <w:tmpl w:val="6D90A0E4"/>
    <w:lvl w:ilvl="0">
      <w:start w:val="7"/>
      <w:numFmt w:val="decimal"/>
      <w:pStyle w:val="Heading1"/>
      <w:lvlText w:val="PHC Chapter %1:"/>
      <w:lvlJc w:val="left"/>
      <w:pPr>
        <w:ind w:left="2693" w:hanging="2948"/>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6674731"/>
    <w:multiLevelType w:val="multilevel"/>
    <w:tmpl w:val="846208FC"/>
    <w:lvl w:ilvl="0">
      <w:start w:val="1"/>
      <w:numFmt w:val="bullet"/>
      <w:pStyle w:val="BulletDirectionsInstructions"/>
      <w:lvlText w:val="o"/>
      <w:lvlJc w:val="left"/>
      <w:pPr>
        <w:ind w:left="567"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251272"/>
    <w:multiLevelType w:val="multilevel"/>
    <w:tmpl w:val="3208DCEC"/>
    <w:lvl w:ilvl="0">
      <w:start w:val="1"/>
      <w:numFmt w:val="decimal"/>
      <w:pStyle w:val="ListParagraphNumbered"/>
      <w:lvlText w:val="%1."/>
      <w:lvlJc w:val="left"/>
      <w:pPr>
        <w:ind w:left="284" w:hanging="284"/>
      </w:pPr>
      <w:rPr>
        <w:rFonts w:ascii="Arial" w:hAnsi="Arial" w:hint="default"/>
        <w:b w:val="0"/>
        <w:i w:val="0"/>
        <w:color w:val="000000"/>
        <w:sz w:val="18"/>
      </w:rPr>
    </w:lvl>
    <w:lvl w:ilvl="1">
      <w:start w:val="1"/>
      <w:numFmt w:val="lowerLetter"/>
      <w:lvlText w:val="%2."/>
      <w:lvlJc w:val="left"/>
      <w:pPr>
        <w:ind w:left="567" w:hanging="283"/>
      </w:pPr>
      <w:rPr>
        <w:rFonts w:ascii="Arial" w:hAnsi="Arial" w:hint="default"/>
        <w:b w:val="0"/>
        <w:i w:val="0"/>
        <w:caps w:val="0"/>
        <w:strike w:val="0"/>
        <w:dstrike w:val="0"/>
        <w:vanish w:val="0"/>
        <w:sz w:val="18"/>
        <w:vertAlign w:val="baseline"/>
      </w:rPr>
    </w:lvl>
    <w:lvl w:ilvl="2">
      <w:start w:val="1"/>
      <w:numFmt w:val="bullet"/>
      <w:lvlText w:val="-"/>
      <w:lvlJc w:val="left"/>
      <w:pPr>
        <w:ind w:left="851" w:hanging="284"/>
      </w:pPr>
      <w:rPr>
        <w:rFonts w:ascii="Courier New" w:hAnsi="Courier New" w:hint="default"/>
        <w:color w:val="000000"/>
      </w:rPr>
    </w:lvl>
    <w:lvl w:ilvl="3">
      <w:start w:val="1"/>
      <w:numFmt w:val="bullet"/>
      <w:lvlText w:val=""/>
      <w:lvlJc w:val="left"/>
      <w:pPr>
        <w:ind w:left="1134"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49B01A0C"/>
    <w:multiLevelType w:val="multilevel"/>
    <w:tmpl w:val="1F264354"/>
    <w:lvl w:ilvl="0">
      <w:numFmt w:val="none"/>
      <w:pStyle w:val="ListParagraph"/>
      <w:lvlText w:val="»"/>
      <w:lvlJc w:val="left"/>
      <w:pPr>
        <w:ind w:left="284" w:hanging="284"/>
      </w:pPr>
      <w:rPr>
        <w:rFonts w:hint="default"/>
        <w:color w:val="000000"/>
      </w:rPr>
    </w:lvl>
    <w:lvl w:ilvl="1">
      <w:start w:val="1"/>
      <w:numFmt w:val="bullet"/>
      <w:lvlText w:val="-"/>
      <w:lvlJc w:val="left"/>
      <w:pPr>
        <w:ind w:left="567" w:hanging="283"/>
      </w:pPr>
      <w:rPr>
        <w:rFonts w:ascii="Courier New" w:hAnsi="Courier New" w:hint="default"/>
        <w:b/>
        <w:i w:val="0"/>
        <w:color w:val="000000"/>
        <w:sz w:val="1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BF731A7"/>
    <w:multiLevelType w:val="multilevel"/>
    <w:tmpl w:val="BDA4EB8A"/>
    <w:lvl w:ilvl="0">
      <w:start w:val="1"/>
      <w:numFmt w:val="bullet"/>
      <w:pStyle w:val="BulletMedicine"/>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3571811"/>
    <w:multiLevelType w:val="multilevel"/>
    <w:tmpl w:val="F17A6458"/>
    <w:lvl w:ilvl="0">
      <w:start w:val="1"/>
      <w:numFmt w:val="bullet"/>
      <w:pStyle w:val="BulletNutrition"/>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132D17"/>
    <w:multiLevelType w:val="multilevel"/>
    <w:tmpl w:val="2F7C0F42"/>
    <w:lvl w:ilvl="0">
      <w:start w:val="1"/>
      <w:numFmt w:val="bullet"/>
      <w:pStyle w:val="BulletTherapeuticclass"/>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6595035">
    <w:abstractNumId w:val="7"/>
  </w:num>
  <w:num w:numId="2" w16cid:durableId="1413232188">
    <w:abstractNumId w:val="2"/>
    <w:lvlOverride w:ilvl="0">
      <w:lvl w:ilvl="0">
        <w:start w:val="1"/>
        <w:numFmt w:val="bullet"/>
        <w:pStyle w:val="BulletDirectionsInstructions"/>
        <w:lvlText w:val="o"/>
        <w:lvlJc w:val="left"/>
        <w:pPr>
          <w:ind w:left="567" w:hanging="283"/>
        </w:pPr>
        <w:rPr>
          <w:rFonts w:ascii="Courier New" w:hAnsi="Courier New" w:hint="default"/>
        </w:rPr>
      </w:lvl>
    </w:lvlOverride>
    <w:lvlOverride w:ilvl="1">
      <w:lvl w:ilvl="1">
        <w:start w:val="1"/>
        <w:numFmt w:val="bullet"/>
        <w:lvlText w:val="-"/>
        <w:lvlJc w:val="left"/>
        <w:pPr>
          <w:ind w:left="851" w:hanging="284"/>
        </w:pPr>
        <w:rPr>
          <w:rFonts w:ascii="Courier New" w:hAnsi="Courier New" w:hint="default"/>
          <w:color w:val="000000"/>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317488963">
    <w:abstractNumId w:val="6"/>
    <w:lvlOverride w:ilvl="0">
      <w:lvl w:ilvl="0">
        <w:start w:val="1"/>
        <w:numFmt w:val="bullet"/>
        <w:pStyle w:val="BulletNutrition"/>
        <w:lvlText w:val="-"/>
        <w:lvlJc w:val="left"/>
        <w:pPr>
          <w:ind w:left="284" w:hanging="284"/>
        </w:pPr>
        <w:rPr>
          <w:rFonts w:ascii="Courier New" w:hAnsi="Courier New" w:hint="default"/>
          <w:color w:val="00000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2090499175">
    <w:abstractNumId w:val="4"/>
  </w:num>
  <w:num w:numId="5" w16cid:durableId="597255279">
    <w:abstractNumId w:val="5"/>
  </w:num>
  <w:num w:numId="6" w16cid:durableId="1676810343">
    <w:abstractNumId w:val="3"/>
  </w:num>
  <w:num w:numId="7" w16cid:durableId="2065983180">
    <w:abstractNumId w:val="1"/>
  </w:num>
  <w:num w:numId="8" w16cid:durableId="152817959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hideSpellingErrors/>
  <w:hideGrammaticalErrors/>
  <w:proofState w:spelling="clean" w:grammar="clean"/>
  <w:attachedTemplate r:id="rId1"/>
  <w:documentProtection w:formatting="1" w:enforcement="0"/>
  <w:defaultTabStop w:val="284"/>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1tjQzMDQzN7S0MDNX0lEKTi0uzszPAykwqgUAtPQOBSwAAAA="/>
  </w:docVars>
  <w:rsids>
    <w:rsidRoot w:val="00AC0C38"/>
    <w:rsid w:val="00000EF0"/>
    <w:rsid w:val="00001C65"/>
    <w:rsid w:val="0000543B"/>
    <w:rsid w:val="0001129F"/>
    <w:rsid w:val="00011BCE"/>
    <w:rsid w:val="000147CD"/>
    <w:rsid w:val="00015194"/>
    <w:rsid w:val="00022E13"/>
    <w:rsid w:val="00024DC2"/>
    <w:rsid w:val="0002656A"/>
    <w:rsid w:val="000279BE"/>
    <w:rsid w:val="00031C41"/>
    <w:rsid w:val="0003217D"/>
    <w:rsid w:val="0004180F"/>
    <w:rsid w:val="000435B8"/>
    <w:rsid w:val="000452AC"/>
    <w:rsid w:val="00050143"/>
    <w:rsid w:val="0005414E"/>
    <w:rsid w:val="00054C03"/>
    <w:rsid w:val="0005561D"/>
    <w:rsid w:val="00056C22"/>
    <w:rsid w:val="00060C39"/>
    <w:rsid w:val="00065233"/>
    <w:rsid w:val="000669FF"/>
    <w:rsid w:val="00072BBF"/>
    <w:rsid w:val="00074273"/>
    <w:rsid w:val="00074303"/>
    <w:rsid w:val="0007530F"/>
    <w:rsid w:val="00096C80"/>
    <w:rsid w:val="000A06C9"/>
    <w:rsid w:val="000A084B"/>
    <w:rsid w:val="000B407B"/>
    <w:rsid w:val="000B5AEE"/>
    <w:rsid w:val="000B6049"/>
    <w:rsid w:val="000D241B"/>
    <w:rsid w:val="000D293B"/>
    <w:rsid w:val="000D6107"/>
    <w:rsid w:val="000E2984"/>
    <w:rsid w:val="000E333C"/>
    <w:rsid w:val="000E65B2"/>
    <w:rsid w:val="000F1160"/>
    <w:rsid w:val="000F143B"/>
    <w:rsid w:val="000F18D9"/>
    <w:rsid w:val="000F516C"/>
    <w:rsid w:val="00102D62"/>
    <w:rsid w:val="00102EDB"/>
    <w:rsid w:val="00111DC5"/>
    <w:rsid w:val="00112725"/>
    <w:rsid w:val="001155D1"/>
    <w:rsid w:val="00125EF3"/>
    <w:rsid w:val="0012784E"/>
    <w:rsid w:val="001368FF"/>
    <w:rsid w:val="00136BA1"/>
    <w:rsid w:val="001436CD"/>
    <w:rsid w:val="0014387B"/>
    <w:rsid w:val="00150D01"/>
    <w:rsid w:val="0015264B"/>
    <w:rsid w:val="001563FA"/>
    <w:rsid w:val="00157D12"/>
    <w:rsid w:val="00161478"/>
    <w:rsid w:val="00161AF5"/>
    <w:rsid w:val="00161B0A"/>
    <w:rsid w:val="00171E62"/>
    <w:rsid w:val="001722D5"/>
    <w:rsid w:val="001736AB"/>
    <w:rsid w:val="00174BA4"/>
    <w:rsid w:val="001755F9"/>
    <w:rsid w:val="00180A75"/>
    <w:rsid w:val="0018652B"/>
    <w:rsid w:val="0019085B"/>
    <w:rsid w:val="001963BD"/>
    <w:rsid w:val="00196F6D"/>
    <w:rsid w:val="001A0144"/>
    <w:rsid w:val="001A1053"/>
    <w:rsid w:val="001A1A02"/>
    <w:rsid w:val="001A286A"/>
    <w:rsid w:val="001A2DA9"/>
    <w:rsid w:val="001A3390"/>
    <w:rsid w:val="001A3CD2"/>
    <w:rsid w:val="001A5D8C"/>
    <w:rsid w:val="001B2D54"/>
    <w:rsid w:val="001B4011"/>
    <w:rsid w:val="001B5789"/>
    <w:rsid w:val="001C1613"/>
    <w:rsid w:val="001C4DD2"/>
    <w:rsid w:val="001C7078"/>
    <w:rsid w:val="001C709F"/>
    <w:rsid w:val="001D310B"/>
    <w:rsid w:val="001D6881"/>
    <w:rsid w:val="001E0859"/>
    <w:rsid w:val="001E5DDA"/>
    <w:rsid w:val="001F2E26"/>
    <w:rsid w:val="001F4BB1"/>
    <w:rsid w:val="002023D6"/>
    <w:rsid w:val="00202765"/>
    <w:rsid w:val="0020512E"/>
    <w:rsid w:val="00212D68"/>
    <w:rsid w:val="00216AA5"/>
    <w:rsid w:val="002176BC"/>
    <w:rsid w:val="00220635"/>
    <w:rsid w:val="00220A92"/>
    <w:rsid w:val="00220ABE"/>
    <w:rsid w:val="0022139A"/>
    <w:rsid w:val="00223E3F"/>
    <w:rsid w:val="0022630B"/>
    <w:rsid w:val="0023005F"/>
    <w:rsid w:val="00237A40"/>
    <w:rsid w:val="00245220"/>
    <w:rsid w:val="0025075E"/>
    <w:rsid w:val="002515B0"/>
    <w:rsid w:val="002542D9"/>
    <w:rsid w:val="00264FB2"/>
    <w:rsid w:val="0027057A"/>
    <w:rsid w:val="00283832"/>
    <w:rsid w:val="0029033D"/>
    <w:rsid w:val="002916EF"/>
    <w:rsid w:val="00293547"/>
    <w:rsid w:val="0029474A"/>
    <w:rsid w:val="00294DEC"/>
    <w:rsid w:val="002957E7"/>
    <w:rsid w:val="00295EE9"/>
    <w:rsid w:val="002A378F"/>
    <w:rsid w:val="002A49A2"/>
    <w:rsid w:val="002B04B5"/>
    <w:rsid w:val="002C1742"/>
    <w:rsid w:val="002C2556"/>
    <w:rsid w:val="002C266D"/>
    <w:rsid w:val="002C2C88"/>
    <w:rsid w:val="002C2FAA"/>
    <w:rsid w:val="002C3169"/>
    <w:rsid w:val="002C5B11"/>
    <w:rsid w:val="002C7D7B"/>
    <w:rsid w:val="002C7F69"/>
    <w:rsid w:val="002D251D"/>
    <w:rsid w:val="002D30E4"/>
    <w:rsid w:val="002D3D79"/>
    <w:rsid w:val="002D4283"/>
    <w:rsid w:val="002D5EAB"/>
    <w:rsid w:val="002D6935"/>
    <w:rsid w:val="002D7602"/>
    <w:rsid w:val="002D7EBF"/>
    <w:rsid w:val="002F0A35"/>
    <w:rsid w:val="002F0F78"/>
    <w:rsid w:val="002F4E11"/>
    <w:rsid w:val="002F5D12"/>
    <w:rsid w:val="002F7CD0"/>
    <w:rsid w:val="00302FA4"/>
    <w:rsid w:val="00302FF3"/>
    <w:rsid w:val="003047C6"/>
    <w:rsid w:val="003047DB"/>
    <w:rsid w:val="00305AF1"/>
    <w:rsid w:val="00320DFC"/>
    <w:rsid w:val="00320E5F"/>
    <w:rsid w:val="00322749"/>
    <w:rsid w:val="00323ADF"/>
    <w:rsid w:val="00326B21"/>
    <w:rsid w:val="00334C3C"/>
    <w:rsid w:val="003366E2"/>
    <w:rsid w:val="003371E2"/>
    <w:rsid w:val="0034231A"/>
    <w:rsid w:val="003442E1"/>
    <w:rsid w:val="0035154F"/>
    <w:rsid w:val="00351A74"/>
    <w:rsid w:val="00353B14"/>
    <w:rsid w:val="003550AB"/>
    <w:rsid w:val="0035714F"/>
    <w:rsid w:val="00361F1A"/>
    <w:rsid w:val="003625A9"/>
    <w:rsid w:val="003661E6"/>
    <w:rsid w:val="00372208"/>
    <w:rsid w:val="0037237F"/>
    <w:rsid w:val="003745F4"/>
    <w:rsid w:val="0037469B"/>
    <w:rsid w:val="0037479A"/>
    <w:rsid w:val="00374DD1"/>
    <w:rsid w:val="003777D5"/>
    <w:rsid w:val="003834E6"/>
    <w:rsid w:val="00383A0B"/>
    <w:rsid w:val="00390554"/>
    <w:rsid w:val="003918DF"/>
    <w:rsid w:val="003A070C"/>
    <w:rsid w:val="003A12AA"/>
    <w:rsid w:val="003A2FE9"/>
    <w:rsid w:val="003A6D36"/>
    <w:rsid w:val="003A70DF"/>
    <w:rsid w:val="003B42A9"/>
    <w:rsid w:val="003B6633"/>
    <w:rsid w:val="003B6BBB"/>
    <w:rsid w:val="003C1DA2"/>
    <w:rsid w:val="003C4E81"/>
    <w:rsid w:val="003C790A"/>
    <w:rsid w:val="003C7BFC"/>
    <w:rsid w:val="003D0C14"/>
    <w:rsid w:val="003D1023"/>
    <w:rsid w:val="003D29B5"/>
    <w:rsid w:val="003D7C62"/>
    <w:rsid w:val="003E0741"/>
    <w:rsid w:val="003F0353"/>
    <w:rsid w:val="003F439F"/>
    <w:rsid w:val="003F53C7"/>
    <w:rsid w:val="004029B9"/>
    <w:rsid w:val="0040467C"/>
    <w:rsid w:val="00404E4F"/>
    <w:rsid w:val="00407BEC"/>
    <w:rsid w:val="00407DC1"/>
    <w:rsid w:val="00416269"/>
    <w:rsid w:val="00416CE9"/>
    <w:rsid w:val="00417513"/>
    <w:rsid w:val="00421336"/>
    <w:rsid w:val="00424AA6"/>
    <w:rsid w:val="00426187"/>
    <w:rsid w:val="00426D3C"/>
    <w:rsid w:val="00433835"/>
    <w:rsid w:val="00433DC3"/>
    <w:rsid w:val="004340AF"/>
    <w:rsid w:val="0043492D"/>
    <w:rsid w:val="00436EE8"/>
    <w:rsid w:val="00441B4D"/>
    <w:rsid w:val="004424A1"/>
    <w:rsid w:val="004444CA"/>
    <w:rsid w:val="00444554"/>
    <w:rsid w:val="00444F67"/>
    <w:rsid w:val="00445F73"/>
    <w:rsid w:val="00446210"/>
    <w:rsid w:val="0045022C"/>
    <w:rsid w:val="004505ED"/>
    <w:rsid w:val="00452795"/>
    <w:rsid w:val="00453155"/>
    <w:rsid w:val="0045519A"/>
    <w:rsid w:val="00457155"/>
    <w:rsid w:val="00457199"/>
    <w:rsid w:val="00457A5A"/>
    <w:rsid w:val="00457B0B"/>
    <w:rsid w:val="00464ED9"/>
    <w:rsid w:val="004671A4"/>
    <w:rsid w:val="00470DA6"/>
    <w:rsid w:val="00472688"/>
    <w:rsid w:val="004741CA"/>
    <w:rsid w:val="00475A3E"/>
    <w:rsid w:val="0048246D"/>
    <w:rsid w:val="00483003"/>
    <w:rsid w:val="00484788"/>
    <w:rsid w:val="004877CA"/>
    <w:rsid w:val="00492BA2"/>
    <w:rsid w:val="00495BFF"/>
    <w:rsid w:val="004A2680"/>
    <w:rsid w:val="004A3385"/>
    <w:rsid w:val="004A42C3"/>
    <w:rsid w:val="004A4BF6"/>
    <w:rsid w:val="004A5A14"/>
    <w:rsid w:val="004A5D99"/>
    <w:rsid w:val="004B11B7"/>
    <w:rsid w:val="004B1CC4"/>
    <w:rsid w:val="004B2576"/>
    <w:rsid w:val="004C23E5"/>
    <w:rsid w:val="004C74EB"/>
    <w:rsid w:val="004D003A"/>
    <w:rsid w:val="004D3A09"/>
    <w:rsid w:val="004D3AB0"/>
    <w:rsid w:val="004D5657"/>
    <w:rsid w:val="004D774E"/>
    <w:rsid w:val="004E0D79"/>
    <w:rsid w:val="004E4D6A"/>
    <w:rsid w:val="004E4E92"/>
    <w:rsid w:val="004F22A5"/>
    <w:rsid w:val="004F5E24"/>
    <w:rsid w:val="00500565"/>
    <w:rsid w:val="0050244E"/>
    <w:rsid w:val="005048A1"/>
    <w:rsid w:val="00506BEA"/>
    <w:rsid w:val="00507432"/>
    <w:rsid w:val="00513FDD"/>
    <w:rsid w:val="005168F5"/>
    <w:rsid w:val="005174F0"/>
    <w:rsid w:val="00521DBC"/>
    <w:rsid w:val="005241DD"/>
    <w:rsid w:val="0052501D"/>
    <w:rsid w:val="00526251"/>
    <w:rsid w:val="00533F05"/>
    <w:rsid w:val="00534F82"/>
    <w:rsid w:val="00536848"/>
    <w:rsid w:val="00540E98"/>
    <w:rsid w:val="00541899"/>
    <w:rsid w:val="00542C62"/>
    <w:rsid w:val="00543CE2"/>
    <w:rsid w:val="00551BDC"/>
    <w:rsid w:val="005622F9"/>
    <w:rsid w:val="00567EBC"/>
    <w:rsid w:val="00570E42"/>
    <w:rsid w:val="00572E50"/>
    <w:rsid w:val="005778DC"/>
    <w:rsid w:val="005804DA"/>
    <w:rsid w:val="00580997"/>
    <w:rsid w:val="00582AEE"/>
    <w:rsid w:val="005841A0"/>
    <w:rsid w:val="0058682C"/>
    <w:rsid w:val="005874E5"/>
    <w:rsid w:val="00591C9A"/>
    <w:rsid w:val="00592C2A"/>
    <w:rsid w:val="00594EB3"/>
    <w:rsid w:val="00595B0C"/>
    <w:rsid w:val="00595EA8"/>
    <w:rsid w:val="0059612D"/>
    <w:rsid w:val="005A1CA0"/>
    <w:rsid w:val="005A1DCC"/>
    <w:rsid w:val="005A54D1"/>
    <w:rsid w:val="005A5BCB"/>
    <w:rsid w:val="005B62CA"/>
    <w:rsid w:val="005C19D5"/>
    <w:rsid w:val="005C2081"/>
    <w:rsid w:val="005C2105"/>
    <w:rsid w:val="005C2F6F"/>
    <w:rsid w:val="005C4479"/>
    <w:rsid w:val="005C535C"/>
    <w:rsid w:val="005C5512"/>
    <w:rsid w:val="005C69A5"/>
    <w:rsid w:val="005C7053"/>
    <w:rsid w:val="005C737B"/>
    <w:rsid w:val="005D2785"/>
    <w:rsid w:val="005D561D"/>
    <w:rsid w:val="005E2C52"/>
    <w:rsid w:val="005E3E13"/>
    <w:rsid w:val="005F177A"/>
    <w:rsid w:val="005F3C9E"/>
    <w:rsid w:val="005F66DC"/>
    <w:rsid w:val="005F67AF"/>
    <w:rsid w:val="005F738F"/>
    <w:rsid w:val="005F7EAC"/>
    <w:rsid w:val="006056F9"/>
    <w:rsid w:val="00606189"/>
    <w:rsid w:val="006145EC"/>
    <w:rsid w:val="00615380"/>
    <w:rsid w:val="00616946"/>
    <w:rsid w:val="00617599"/>
    <w:rsid w:val="006214F9"/>
    <w:rsid w:val="00626425"/>
    <w:rsid w:val="0063118E"/>
    <w:rsid w:val="00633506"/>
    <w:rsid w:val="00640071"/>
    <w:rsid w:val="0064586C"/>
    <w:rsid w:val="0064774B"/>
    <w:rsid w:val="00650322"/>
    <w:rsid w:val="006539E9"/>
    <w:rsid w:val="006557C0"/>
    <w:rsid w:val="0066232A"/>
    <w:rsid w:val="00666C5B"/>
    <w:rsid w:val="00670678"/>
    <w:rsid w:val="00670BEF"/>
    <w:rsid w:val="00673B81"/>
    <w:rsid w:val="0069180A"/>
    <w:rsid w:val="00694DC4"/>
    <w:rsid w:val="00695058"/>
    <w:rsid w:val="006A1689"/>
    <w:rsid w:val="006A57B2"/>
    <w:rsid w:val="006A6E4B"/>
    <w:rsid w:val="006B0668"/>
    <w:rsid w:val="006B2B0D"/>
    <w:rsid w:val="006B4066"/>
    <w:rsid w:val="006B487C"/>
    <w:rsid w:val="006B64B0"/>
    <w:rsid w:val="006B6533"/>
    <w:rsid w:val="006C0A38"/>
    <w:rsid w:val="006C26B1"/>
    <w:rsid w:val="006C4DD6"/>
    <w:rsid w:val="006C619F"/>
    <w:rsid w:val="006C72BD"/>
    <w:rsid w:val="006C747E"/>
    <w:rsid w:val="006D2F72"/>
    <w:rsid w:val="006D60AB"/>
    <w:rsid w:val="006E17F4"/>
    <w:rsid w:val="006E2C3B"/>
    <w:rsid w:val="006F3C7E"/>
    <w:rsid w:val="006F3E90"/>
    <w:rsid w:val="006F568B"/>
    <w:rsid w:val="007005E0"/>
    <w:rsid w:val="00704A1A"/>
    <w:rsid w:val="00712F66"/>
    <w:rsid w:val="0071577E"/>
    <w:rsid w:val="007160FC"/>
    <w:rsid w:val="00717E07"/>
    <w:rsid w:val="00721A35"/>
    <w:rsid w:val="00722818"/>
    <w:rsid w:val="00723336"/>
    <w:rsid w:val="007268E5"/>
    <w:rsid w:val="007363AD"/>
    <w:rsid w:val="00741B05"/>
    <w:rsid w:val="00741DD4"/>
    <w:rsid w:val="0074758B"/>
    <w:rsid w:val="007508A5"/>
    <w:rsid w:val="0075297E"/>
    <w:rsid w:val="00756820"/>
    <w:rsid w:val="007602CE"/>
    <w:rsid w:val="00761A83"/>
    <w:rsid w:val="0076573D"/>
    <w:rsid w:val="00766275"/>
    <w:rsid w:val="00766814"/>
    <w:rsid w:val="00766E78"/>
    <w:rsid w:val="0076740D"/>
    <w:rsid w:val="0077129E"/>
    <w:rsid w:val="007712BC"/>
    <w:rsid w:val="0077305E"/>
    <w:rsid w:val="0077461A"/>
    <w:rsid w:val="00776951"/>
    <w:rsid w:val="00781AD1"/>
    <w:rsid w:val="007823C7"/>
    <w:rsid w:val="007850C4"/>
    <w:rsid w:val="0078551A"/>
    <w:rsid w:val="0078621A"/>
    <w:rsid w:val="00787FCF"/>
    <w:rsid w:val="00790851"/>
    <w:rsid w:val="00792089"/>
    <w:rsid w:val="0079306E"/>
    <w:rsid w:val="00793541"/>
    <w:rsid w:val="007A12AB"/>
    <w:rsid w:val="007A51FA"/>
    <w:rsid w:val="007A7A5F"/>
    <w:rsid w:val="007B1FC6"/>
    <w:rsid w:val="007B5927"/>
    <w:rsid w:val="007B5AA4"/>
    <w:rsid w:val="007C133F"/>
    <w:rsid w:val="007C4B43"/>
    <w:rsid w:val="007C5BAA"/>
    <w:rsid w:val="007C7A75"/>
    <w:rsid w:val="007D2825"/>
    <w:rsid w:val="007D3D59"/>
    <w:rsid w:val="007D4FDC"/>
    <w:rsid w:val="007D6552"/>
    <w:rsid w:val="007E2134"/>
    <w:rsid w:val="007E754D"/>
    <w:rsid w:val="007F4578"/>
    <w:rsid w:val="007F4EAB"/>
    <w:rsid w:val="007F6545"/>
    <w:rsid w:val="00803FF8"/>
    <w:rsid w:val="0080454B"/>
    <w:rsid w:val="00810318"/>
    <w:rsid w:val="00811FE0"/>
    <w:rsid w:val="008141CC"/>
    <w:rsid w:val="008234F4"/>
    <w:rsid w:val="00834D08"/>
    <w:rsid w:val="008452E7"/>
    <w:rsid w:val="00847D2B"/>
    <w:rsid w:val="00851108"/>
    <w:rsid w:val="0085170B"/>
    <w:rsid w:val="00854FC9"/>
    <w:rsid w:val="00855962"/>
    <w:rsid w:val="00855AFD"/>
    <w:rsid w:val="0085757D"/>
    <w:rsid w:val="00862D01"/>
    <w:rsid w:val="00863DE5"/>
    <w:rsid w:val="008644C4"/>
    <w:rsid w:val="008646FC"/>
    <w:rsid w:val="00866D7A"/>
    <w:rsid w:val="008716FB"/>
    <w:rsid w:val="00876B39"/>
    <w:rsid w:val="008778B4"/>
    <w:rsid w:val="00883E91"/>
    <w:rsid w:val="008864BB"/>
    <w:rsid w:val="00892038"/>
    <w:rsid w:val="00895E24"/>
    <w:rsid w:val="008967FA"/>
    <w:rsid w:val="00896CF5"/>
    <w:rsid w:val="008977FC"/>
    <w:rsid w:val="008A6921"/>
    <w:rsid w:val="008B27DE"/>
    <w:rsid w:val="008B4C38"/>
    <w:rsid w:val="008B5177"/>
    <w:rsid w:val="008B7707"/>
    <w:rsid w:val="008C2CAA"/>
    <w:rsid w:val="008C3479"/>
    <w:rsid w:val="008C6231"/>
    <w:rsid w:val="008C6924"/>
    <w:rsid w:val="008D109E"/>
    <w:rsid w:val="008D19DA"/>
    <w:rsid w:val="008D56E6"/>
    <w:rsid w:val="008D62EC"/>
    <w:rsid w:val="008D7E91"/>
    <w:rsid w:val="008E089B"/>
    <w:rsid w:val="008E1B77"/>
    <w:rsid w:val="008E2BEC"/>
    <w:rsid w:val="008F359D"/>
    <w:rsid w:val="008F4CA0"/>
    <w:rsid w:val="008F510A"/>
    <w:rsid w:val="00901176"/>
    <w:rsid w:val="00901C45"/>
    <w:rsid w:val="0090203F"/>
    <w:rsid w:val="00904823"/>
    <w:rsid w:val="00907E62"/>
    <w:rsid w:val="009100FE"/>
    <w:rsid w:val="00911C8B"/>
    <w:rsid w:val="00913CA7"/>
    <w:rsid w:val="009143BF"/>
    <w:rsid w:val="00916CEF"/>
    <w:rsid w:val="00922554"/>
    <w:rsid w:val="00922578"/>
    <w:rsid w:val="009233E5"/>
    <w:rsid w:val="00925EA4"/>
    <w:rsid w:val="009306DE"/>
    <w:rsid w:val="00933A4C"/>
    <w:rsid w:val="00934A3A"/>
    <w:rsid w:val="00935F08"/>
    <w:rsid w:val="00941F42"/>
    <w:rsid w:val="009433AF"/>
    <w:rsid w:val="00944F48"/>
    <w:rsid w:val="009458B5"/>
    <w:rsid w:val="009466C8"/>
    <w:rsid w:val="00947BA4"/>
    <w:rsid w:val="00953712"/>
    <w:rsid w:val="009544A7"/>
    <w:rsid w:val="0095532F"/>
    <w:rsid w:val="009553DA"/>
    <w:rsid w:val="0095628D"/>
    <w:rsid w:val="0096565C"/>
    <w:rsid w:val="00966E70"/>
    <w:rsid w:val="00966F54"/>
    <w:rsid w:val="009671DA"/>
    <w:rsid w:val="009675F9"/>
    <w:rsid w:val="00976CB8"/>
    <w:rsid w:val="00982C51"/>
    <w:rsid w:val="00983610"/>
    <w:rsid w:val="00993050"/>
    <w:rsid w:val="009948A9"/>
    <w:rsid w:val="00994A0E"/>
    <w:rsid w:val="009963FA"/>
    <w:rsid w:val="00996EDE"/>
    <w:rsid w:val="009A29DD"/>
    <w:rsid w:val="009A2A04"/>
    <w:rsid w:val="009A4081"/>
    <w:rsid w:val="009A6130"/>
    <w:rsid w:val="009A672A"/>
    <w:rsid w:val="009A7043"/>
    <w:rsid w:val="009B2E90"/>
    <w:rsid w:val="009C1E1F"/>
    <w:rsid w:val="009C2B22"/>
    <w:rsid w:val="009D37A9"/>
    <w:rsid w:val="009D3AE0"/>
    <w:rsid w:val="009D5640"/>
    <w:rsid w:val="009D5698"/>
    <w:rsid w:val="009D7AFF"/>
    <w:rsid w:val="009E18F8"/>
    <w:rsid w:val="009E3DB6"/>
    <w:rsid w:val="009E51E0"/>
    <w:rsid w:val="009E6287"/>
    <w:rsid w:val="009E678A"/>
    <w:rsid w:val="009F0DBB"/>
    <w:rsid w:val="009F4051"/>
    <w:rsid w:val="009F48BE"/>
    <w:rsid w:val="009F5365"/>
    <w:rsid w:val="00A015E8"/>
    <w:rsid w:val="00A021BF"/>
    <w:rsid w:val="00A02F1E"/>
    <w:rsid w:val="00A03C09"/>
    <w:rsid w:val="00A042C8"/>
    <w:rsid w:val="00A0631D"/>
    <w:rsid w:val="00A071EA"/>
    <w:rsid w:val="00A116A8"/>
    <w:rsid w:val="00A15F84"/>
    <w:rsid w:val="00A16226"/>
    <w:rsid w:val="00A21669"/>
    <w:rsid w:val="00A26C10"/>
    <w:rsid w:val="00A26D5F"/>
    <w:rsid w:val="00A3097A"/>
    <w:rsid w:val="00A30998"/>
    <w:rsid w:val="00A31CD3"/>
    <w:rsid w:val="00A32607"/>
    <w:rsid w:val="00A333C7"/>
    <w:rsid w:val="00A355CC"/>
    <w:rsid w:val="00A35FE8"/>
    <w:rsid w:val="00A40FEF"/>
    <w:rsid w:val="00A41C17"/>
    <w:rsid w:val="00A43467"/>
    <w:rsid w:val="00A4460E"/>
    <w:rsid w:val="00A44CB6"/>
    <w:rsid w:val="00A45870"/>
    <w:rsid w:val="00A464F3"/>
    <w:rsid w:val="00A503C4"/>
    <w:rsid w:val="00A50DCB"/>
    <w:rsid w:val="00A52206"/>
    <w:rsid w:val="00A52866"/>
    <w:rsid w:val="00A52B88"/>
    <w:rsid w:val="00A53333"/>
    <w:rsid w:val="00A56815"/>
    <w:rsid w:val="00A7065F"/>
    <w:rsid w:val="00A72105"/>
    <w:rsid w:val="00A75FE1"/>
    <w:rsid w:val="00A7689E"/>
    <w:rsid w:val="00A81D71"/>
    <w:rsid w:val="00A85AFA"/>
    <w:rsid w:val="00A869AA"/>
    <w:rsid w:val="00A93875"/>
    <w:rsid w:val="00A95C2D"/>
    <w:rsid w:val="00A97762"/>
    <w:rsid w:val="00AA39CE"/>
    <w:rsid w:val="00AA5610"/>
    <w:rsid w:val="00AA6EA5"/>
    <w:rsid w:val="00AB1246"/>
    <w:rsid w:val="00AB1693"/>
    <w:rsid w:val="00AB219B"/>
    <w:rsid w:val="00AC0548"/>
    <w:rsid w:val="00AC0C38"/>
    <w:rsid w:val="00AC659A"/>
    <w:rsid w:val="00AC73A1"/>
    <w:rsid w:val="00AC7A12"/>
    <w:rsid w:val="00AD1B9A"/>
    <w:rsid w:val="00AD40FF"/>
    <w:rsid w:val="00AD6223"/>
    <w:rsid w:val="00AE05ED"/>
    <w:rsid w:val="00AE1B7B"/>
    <w:rsid w:val="00AE20DB"/>
    <w:rsid w:val="00AE312A"/>
    <w:rsid w:val="00AE4FD7"/>
    <w:rsid w:val="00AE5B51"/>
    <w:rsid w:val="00AE7423"/>
    <w:rsid w:val="00AF05DD"/>
    <w:rsid w:val="00AF0DEF"/>
    <w:rsid w:val="00AF58DD"/>
    <w:rsid w:val="00AF6F6C"/>
    <w:rsid w:val="00AF7A8E"/>
    <w:rsid w:val="00B01630"/>
    <w:rsid w:val="00B01C68"/>
    <w:rsid w:val="00B132BF"/>
    <w:rsid w:val="00B13A40"/>
    <w:rsid w:val="00B14806"/>
    <w:rsid w:val="00B14AC9"/>
    <w:rsid w:val="00B14DC2"/>
    <w:rsid w:val="00B1558D"/>
    <w:rsid w:val="00B16CA6"/>
    <w:rsid w:val="00B215D6"/>
    <w:rsid w:val="00B2179D"/>
    <w:rsid w:val="00B24158"/>
    <w:rsid w:val="00B25B53"/>
    <w:rsid w:val="00B303E6"/>
    <w:rsid w:val="00B325FE"/>
    <w:rsid w:val="00B421C0"/>
    <w:rsid w:val="00B444CA"/>
    <w:rsid w:val="00B459E7"/>
    <w:rsid w:val="00B55E66"/>
    <w:rsid w:val="00B5719D"/>
    <w:rsid w:val="00B61D70"/>
    <w:rsid w:val="00B62B39"/>
    <w:rsid w:val="00B62F39"/>
    <w:rsid w:val="00B6434D"/>
    <w:rsid w:val="00B66E6D"/>
    <w:rsid w:val="00B6706B"/>
    <w:rsid w:val="00B6760B"/>
    <w:rsid w:val="00B7098F"/>
    <w:rsid w:val="00B7456C"/>
    <w:rsid w:val="00B7737F"/>
    <w:rsid w:val="00B77F7B"/>
    <w:rsid w:val="00B804DD"/>
    <w:rsid w:val="00B83218"/>
    <w:rsid w:val="00B8553F"/>
    <w:rsid w:val="00BA0180"/>
    <w:rsid w:val="00BA0402"/>
    <w:rsid w:val="00BA1605"/>
    <w:rsid w:val="00BA259D"/>
    <w:rsid w:val="00BB269F"/>
    <w:rsid w:val="00BB2D4C"/>
    <w:rsid w:val="00BB3D32"/>
    <w:rsid w:val="00BB486C"/>
    <w:rsid w:val="00BB76ED"/>
    <w:rsid w:val="00BB7BCF"/>
    <w:rsid w:val="00BC2F62"/>
    <w:rsid w:val="00BC3CD5"/>
    <w:rsid w:val="00BC58B5"/>
    <w:rsid w:val="00BC5FDF"/>
    <w:rsid w:val="00BD034E"/>
    <w:rsid w:val="00BD7673"/>
    <w:rsid w:val="00BE1AB9"/>
    <w:rsid w:val="00BE3516"/>
    <w:rsid w:val="00BE3658"/>
    <w:rsid w:val="00BE53B0"/>
    <w:rsid w:val="00BF3426"/>
    <w:rsid w:val="00BF3BA0"/>
    <w:rsid w:val="00BF678F"/>
    <w:rsid w:val="00BF704E"/>
    <w:rsid w:val="00C03F07"/>
    <w:rsid w:val="00C046CF"/>
    <w:rsid w:val="00C05560"/>
    <w:rsid w:val="00C05FFD"/>
    <w:rsid w:val="00C10CE6"/>
    <w:rsid w:val="00C125E7"/>
    <w:rsid w:val="00C15085"/>
    <w:rsid w:val="00C168B9"/>
    <w:rsid w:val="00C17ACF"/>
    <w:rsid w:val="00C17FBA"/>
    <w:rsid w:val="00C2199C"/>
    <w:rsid w:val="00C22F6F"/>
    <w:rsid w:val="00C24F35"/>
    <w:rsid w:val="00C2797C"/>
    <w:rsid w:val="00C3352A"/>
    <w:rsid w:val="00C36B28"/>
    <w:rsid w:val="00C40F87"/>
    <w:rsid w:val="00C41C20"/>
    <w:rsid w:val="00C44E8F"/>
    <w:rsid w:val="00C53DC2"/>
    <w:rsid w:val="00C6381B"/>
    <w:rsid w:val="00C647DB"/>
    <w:rsid w:val="00C6783B"/>
    <w:rsid w:val="00C71095"/>
    <w:rsid w:val="00C755B4"/>
    <w:rsid w:val="00C75F24"/>
    <w:rsid w:val="00C80648"/>
    <w:rsid w:val="00C838AA"/>
    <w:rsid w:val="00C84818"/>
    <w:rsid w:val="00C86F94"/>
    <w:rsid w:val="00C92E9C"/>
    <w:rsid w:val="00C94E6D"/>
    <w:rsid w:val="00C95361"/>
    <w:rsid w:val="00C965EF"/>
    <w:rsid w:val="00CA7180"/>
    <w:rsid w:val="00CB27F9"/>
    <w:rsid w:val="00CB3FA7"/>
    <w:rsid w:val="00CB4DDA"/>
    <w:rsid w:val="00CB4EF9"/>
    <w:rsid w:val="00CB65FF"/>
    <w:rsid w:val="00CB66C3"/>
    <w:rsid w:val="00CC3AD6"/>
    <w:rsid w:val="00CC5E67"/>
    <w:rsid w:val="00CD24D3"/>
    <w:rsid w:val="00CD67E5"/>
    <w:rsid w:val="00CE17A5"/>
    <w:rsid w:val="00CE4531"/>
    <w:rsid w:val="00CE5103"/>
    <w:rsid w:val="00CE51D5"/>
    <w:rsid w:val="00CE75AB"/>
    <w:rsid w:val="00CF2348"/>
    <w:rsid w:val="00CF4123"/>
    <w:rsid w:val="00CF7176"/>
    <w:rsid w:val="00D05448"/>
    <w:rsid w:val="00D10546"/>
    <w:rsid w:val="00D124BF"/>
    <w:rsid w:val="00D16598"/>
    <w:rsid w:val="00D2178F"/>
    <w:rsid w:val="00D2495B"/>
    <w:rsid w:val="00D256D1"/>
    <w:rsid w:val="00D268F5"/>
    <w:rsid w:val="00D30B1D"/>
    <w:rsid w:val="00D3558B"/>
    <w:rsid w:val="00D35949"/>
    <w:rsid w:val="00D36A8D"/>
    <w:rsid w:val="00D44192"/>
    <w:rsid w:val="00D529EA"/>
    <w:rsid w:val="00D5744E"/>
    <w:rsid w:val="00D609A9"/>
    <w:rsid w:val="00D62F7D"/>
    <w:rsid w:val="00D665ED"/>
    <w:rsid w:val="00D72F7E"/>
    <w:rsid w:val="00D73FC0"/>
    <w:rsid w:val="00D74BFF"/>
    <w:rsid w:val="00D821E7"/>
    <w:rsid w:val="00D82C54"/>
    <w:rsid w:val="00D86EDE"/>
    <w:rsid w:val="00D92449"/>
    <w:rsid w:val="00D9657E"/>
    <w:rsid w:val="00D979F3"/>
    <w:rsid w:val="00DA0E20"/>
    <w:rsid w:val="00DA2571"/>
    <w:rsid w:val="00DA7B42"/>
    <w:rsid w:val="00DA7DE3"/>
    <w:rsid w:val="00DB0A23"/>
    <w:rsid w:val="00DB6834"/>
    <w:rsid w:val="00DC33E4"/>
    <w:rsid w:val="00DC6DD6"/>
    <w:rsid w:val="00DC7859"/>
    <w:rsid w:val="00DE0AF4"/>
    <w:rsid w:val="00DE18B3"/>
    <w:rsid w:val="00DE6EBB"/>
    <w:rsid w:val="00DE6F00"/>
    <w:rsid w:val="00DF170B"/>
    <w:rsid w:val="00DF4BEF"/>
    <w:rsid w:val="00DF57A1"/>
    <w:rsid w:val="00DF581A"/>
    <w:rsid w:val="00E155F1"/>
    <w:rsid w:val="00E16537"/>
    <w:rsid w:val="00E17AEC"/>
    <w:rsid w:val="00E20C29"/>
    <w:rsid w:val="00E30FA8"/>
    <w:rsid w:val="00E40E15"/>
    <w:rsid w:val="00E45386"/>
    <w:rsid w:val="00E45EDF"/>
    <w:rsid w:val="00E54E85"/>
    <w:rsid w:val="00E569C5"/>
    <w:rsid w:val="00E60252"/>
    <w:rsid w:val="00E61D02"/>
    <w:rsid w:val="00E72CC9"/>
    <w:rsid w:val="00E75EDE"/>
    <w:rsid w:val="00E773FD"/>
    <w:rsid w:val="00E81BED"/>
    <w:rsid w:val="00E82DB5"/>
    <w:rsid w:val="00E84094"/>
    <w:rsid w:val="00E86FEA"/>
    <w:rsid w:val="00E94A89"/>
    <w:rsid w:val="00EA1C69"/>
    <w:rsid w:val="00EA2A2B"/>
    <w:rsid w:val="00EA3046"/>
    <w:rsid w:val="00EB0E5E"/>
    <w:rsid w:val="00EB6AB2"/>
    <w:rsid w:val="00EC01F3"/>
    <w:rsid w:val="00EC3BB8"/>
    <w:rsid w:val="00ED2CE5"/>
    <w:rsid w:val="00ED2EEE"/>
    <w:rsid w:val="00EE0411"/>
    <w:rsid w:val="00EE1600"/>
    <w:rsid w:val="00EF1C2E"/>
    <w:rsid w:val="00EF3FFA"/>
    <w:rsid w:val="00EF46E0"/>
    <w:rsid w:val="00EF4D39"/>
    <w:rsid w:val="00F01851"/>
    <w:rsid w:val="00F064E6"/>
    <w:rsid w:val="00F21297"/>
    <w:rsid w:val="00F21F67"/>
    <w:rsid w:val="00F221CD"/>
    <w:rsid w:val="00F336F0"/>
    <w:rsid w:val="00F34D11"/>
    <w:rsid w:val="00F35DB8"/>
    <w:rsid w:val="00F37787"/>
    <w:rsid w:val="00F5077F"/>
    <w:rsid w:val="00F50BB3"/>
    <w:rsid w:val="00F50EF9"/>
    <w:rsid w:val="00F51ABF"/>
    <w:rsid w:val="00F55333"/>
    <w:rsid w:val="00F55A7F"/>
    <w:rsid w:val="00F57C49"/>
    <w:rsid w:val="00F6420C"/>
    <w:rsid w:val="00F65311"/>
    <w:rsid w:val="00F65BFA"/>
    <w:rsid w:val="00F65C77"/>
    <w:rsid w:val="00F70525"/>
    <w:rsid w:val="00F77A84"/>
    <w:rsid w:val="00F84B76"/>
    <w:rsid w:val="00F90098"/>
    <w:rsid w:val="00F90CFF"/>
    <w:rsid w:val="00F95BB3"/>
    <w:rsid w:val="00F97B68"/>
    <w:rsid w:val="00FB1B75"/>
    <w:rsid w:val="00FB2AD4"/>
    <w:rsid w:val="00FB6917"/>
    <w:rsid w:val="00FC3FBC"/>
    <w:rsid w:val="00FC689C"/>
    <w:rsid w:val="00FC7880"/>
    <w:rsid w:val="00FD16B9"/>
    <w:rsid w:val="00FD22C3"/>
    <w:rsid w:val="00FD67BA"/>
    <w:rsid w:val="00FE0BED"/>
    <w:rsid w:val="00FE3378"/>
    <w:rsid w:val="00FF24F6"/>
    <w:rsid w:val="00FF53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67B29"/>
  <w15:chartTrackingRefBased/>
  <w15:docId w15:val="{49A04771-14AB-499E-B4F1-50FD390C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10" w:unhideWhenUsed="1"/>
    <w:lsdException w:name="endnote text" w:semiHidden="1" w:uiPriority="1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1DA"/>
    <w:pPr>
      <w:spacing w:before="60" w:after="60"/>
      <w:jc w:val="both"/>
    </w:pPr>
    <w:rPr>
      <w:rFonts w:ascii="Arial" w:hAnsi="Arial"/>
      <w:spacing w:val="-4"/>
    </w:rPr>
  </w:style>
  <w:style w:type="paragraph" w:styleId="Heading1">
    <w:name w:val="heading 1"/>
    <w:aliases w:val="Chapter Heading"/>
    <w:basedOn w:val="Title"/>
    <w:next w:val="Normal"/>
    <w:link w:val="Heading1Char"/>
    <w:uiPriority w:val="9"/>
    <w:qFormat/>
    <w:rsid w:val="00074303"/>
    <w:pPr>
      <w:numPr>
        <w:numId w:val="7"/>
      </w:numPr>
      <w:outlineLvl w:val="0"/>
    </w:pPr>
  </w:style>
  <w:style w:type="paragraph" w:styleId="Heading2">
    <w:name w:val="heading 2"/>
    <w:aliases w:val="Section Heading 1.1"/>
    <w:basedOn w:val="Normal"/>
    <w:next w:val="Normal"/>
    <w:link w:val="Heading2Char"/>
    <w:uiPriority w:val="9"/>
    <w:unhideWhenUsed/>
    <w:qFormat/>
    <w:rsid w:val="00220ABE"/>
    <w:pPr>
      <w:keepNext/>
      <w:keepLines/>
      <w:numPr>
        <w:ilvl w:val="1"/>
        <w:numId w:val="7"/>
      </w:numPr>
      <w:shd w:val="clear" w:color="auto" w:fill="BFBFBF" w:themeFill="background1" w:themeFillShade="BF"/>
      <w:spacing w:before="120" w:after="0"/>
      <w:outlineLvl w:val="1"/>
    </w:pPr>
    <w:rPr>
      <w:rFonts w:eastAsiaTheme="majorEastAsia" w:cstheme="majorBidi"/>
      <w:b/>
      <w:caps/>
      <w:sz w:val="22"/>
    </w:rPr>
  </w:style>
  <w:style w:type="paragraph" w:styleId="Heading3">
    <w:name w:val="heading 3"/>
    <w:aliases w:val="Section Heading 1.1.1"/>
    <w:basedOn w:val="Normal"/>
    <w:next w:val="Normal"/>
    <w:link w:val="Heading3Char"/>
    <w:uiPriority w:val="9"/>
    <w:unhideWhenUsed/>
    <w:qFormat/>
    <w:rsid w:val="00220ABE"/>
    <w:pPr>
      <w:keepNext/>
      <w:keepLines/>
      <w:numPr>
        <w:ilvl w:val="2"/>
        <w:numId w:val="7"/>
      </w:numPr>
      <w:shd w:val="clear" w:color="auto" w:fill="BFBFBF" w:themeFill="background1" w:themeFillShade="BF"/>
      <w:spacing w:before="120" w:after="0"/>
      <w:outlineLvl w:val="2"/>
    </w:pPr>
    <w:rPr>
      <w:rFonts w:eastAsiaTheme="majorEastAsia" w:cstheme="majorBidi"/>
      <w:b/>
      <w:caps/>
      <w:sz w:val="22"/>
    </w:rPr>
  </w:style>
  <w:style w:type="paragraph" w:styleId="Heading4">
    <w:name w:val="heading 4"/>
    <w:aliases w:val="Section Heading 1.1.1.1"/>
    <w:basedOn w:val="Normal"/>
    <w:next w:val="Normal"/>
    <w:link w:val="Heading4Char"/>
    <w:uiPriority w:val="9"/>
    <w:unhideWhenUsed/>
    <w:qFormat/>
    <w:rsid w:val="0037237F"/>
    <w:pPr>
      <w:keepNext/>
      <w:keepLines/>
      <w:numPr>
        <w:ilvl w:val="3"/>
        <w:numId w:val="7"/>
      </w:numPr>
      <w:shd w:val="clear" w:color="auto" w:fill="BFBFBF" w:themeFill="background1" w:themeFillShade="BF"/>
      <w:spacing w:before="120" w:after="0"/>
      <w:outlineLvl w:val="3"/>
    </w:pPr>
    <w:rPr>
      <w:rFonts w:eastAsiaTheme="majorEastAsia" w:cstheme="majorBidi"/>
      <w:b/>
      <w:iCs/>
      <w:caps/>
      <w:sz w:val="22"/>
    </w:rPr>
  </w:style>
  <w:style w:type="paragraph" w:styleId="Heading5">
    <w:name w:val="heading 5"/>
    <w:aliases w:val="Subheading"/>
    <w:basedOn w:val="Normal"/>
    <w:next w:val="Normal"/>
    <w:link w:val="Heading5Char"/>
    <w:uiPriority w:val="9"/>
    <w:unhideWhenUsed/>
    <w:qFormat/>
    <w:rsid w:val="0037237F"/>
    <w:pPr>
      <w:keepNext/>
      <w:spacing w:before="120" w:after="0"/>
      <w:outlineLvl w:val="4"/>
    </w:pPr>
    <w:rPr>
      <w:b/>
      <w:bCs/>
      <w:caps/>
      <w:sz w:val="20"/>
    </w:rPr>
  </w:style>
  <w:style w:type="paragraph" w:styleId="Heading6">
    <w:name w:val="heading 6"/>
    <w:basedOn w:val="Normal"/>
    <w:next w:val="Normal"/>
    <w:link w:val="Heading6Char"/>
    <w:uiPriority w:val="9"/>
    <w:unhideWhenUsed/>
    <w:qFormat/>
    <w:rsid w:val="0037237F"/>
    <w:pPr>
      <w:keepNext/>
      <w:spacing w:before="120" w:after="0"/>
      <w:outlineLvl w:val="5"/>
    </w:pPr>
    <w:rPr>
      <w:b/>
      <w:bCs/>
    </w:rPr>
  </w:style>
  <w:style w:type="paragraph" w:styleId="Heading7">
    <w:name w:val="heading 7"/>
    <w:basedOn w:val="Normal"/>
    <w:next w:val="Normal"/>
    <w:link w:val="Heading7Char"/>
    <w:uiPriority w:val="9"/>
    <w:unhideWhenUsed/>
    <w:qFormat/>
    <w:rsid w:val="0037237F"/>
    <w:pPr>
      <w:keepNext/>
      <w:spacing w:after="0"/>
      <w:outlineLvl w:val="6"/>
    </w:pPr>
    <w:rPr>
      <w:u w:val="single"/>
    </w:rPr>
  </w:style>
  <w:style w:type="paragraph" w:styleId="Heading8">
    <w:name w:val="heading 8"/>
    <w:basedOn w:val="Normal"/>
    <w:next w:val="Normal"/>
    <w:link w:val="Heading8Char"/>
    <w:uiPriority w:val="9"/>
    <w:unhideWhenUsed/>
    <w:rsid w:val="0037237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7237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074303"/>
    <w:rPr>
      <w:rFonts w:ascii="Arial Black" w:eastAsiaTheme="majorEastAsia" w:hAnsi="Arial Black" w:cstheme="majorBidi"/>
      <w:spacing w:val="-10"/>
      <w:kern w:val="28"/>
      <w:sz w:val="32"/>
      <w:szCs w:val="56"/>
      <w:lang w:val="en-GB"/>
    </w:rPr>
  </w:style>
  <w:style w:type="character" w:customStyle="1" w:styleId="Heading2Char">
    <w:name w:val="Heading 2 Char"/>
    <w:aliases w:val="Section Heading 1.1 Char"/>
    <w:basedOn w:val="DefaultParagraphFont"/>
    <w:link w:val="Heading2"/>
    <w:uiPriority w:val="9"/>
    <w:rsid w:val="00220ABE"/>
    <w:rPr>
      <w:rFonts w:ascii="Arial" w:eastAsiaTheme="majorEastAsia" w:hAnsi="Arial" w:cstheme="majorBidi"/>
      <w:b/>
      <w:caps/>
      <w:spacing w:val="-4"/>
      <w:sz w:val="22"/>
      <w:shd w:val="clear" w:color="auto" w:fill="BFBFBF" w:themeFill="background1" w:themeFillShade="BF"/>
      <w:lang w:val="en-GB"/>
    </w:rPr>
  </w:style>
  <w:style w:type="character" w:customStyle="1" w:styleId="Heading3Char">
    <w:name w:val="Heading 3 Char"/>
    <w:aliases w:val="Section Heading 1.1.1 Char"/>
    <w:basedOn w:val="DefaultParagraphFont"/>
    <w:link w:val="Heading3"/>
    <w:uiPriority w:val="9"/>
    <w:rsid w:val="00220ABE"/>
    <w:rPr>
      <w:rFonts w:ascii="Arial" w:eastAsiaTheme="majorEastAsia" w:hAnsi="Arial" w:cstheme="majorBidi"/>
      <w:b/>
      <w:caps/>
      <w:spacing w:val="-4"/>
      <w:sz w:val="22"/>
      <w:shd w:val="clear" w:color="auto" w:fill="BFBFBF" w:themeFill="background1" w:themeFillShade="BF"/>
      <w:lang w:val="en-GB"/>
    </w:rPr>
  </w:style>
  <w:style w:type="character" w:customStyle="1" w:styleId="Heading4Char">
    <w:name w:val="Heading 4 Char"/>
    <w:aliases w:val="Section Heading 1.1.1.1 Char"/>
    <w:basedOn w:val="DefaultParagraphFont"/>
    <w:link w:val="Heading4"/>
    <w:uiPriority w:val="9"/>
    <w:rsid w:val="0037237F"/>
    <w:rPr>
      <w:rFonts w:ascii="Arial" w:eastAsiaTheme="majorEastAsia" w:hAnsi="Arial" w:cstheme="majorBidi"/>
      <w:b/>
      <w:iCs/>
      <w:caps/>
      <w:spacing w:val="-4"/>
      <w:sz w:val="22"/>
      <w:shd w:val="clear" w:color="auto" w:fill="BFBFBF" w:themeFill="background1" w:themeFillShade="BF"/>
      <w:lang w:val="en-GB"/>
    </w:rPr>
  </w:style>
  <w:style w:type="character" w:customStyle="1" w:styleId="Heading5Char">
    <w:name w:val="Heading 5 Char"/>
    <w:aliases w:val="Subheading Char"/>
    <w:basedOn w:val="DefaultParagraphFont"/>
    <w:link w:val="Heading5"/>
    <w:uiPriority w:val="9"/>
    <w:rsid w:val="0037237F"/>
    <w:rPr>
      <w:rFonts w:ascii="Arial" w:hAnsi="Arial"/>
      <w:b/>
      <w:bCs/>
      <w:caps/>
      <w:spacing w:val="-4"/>
      <w:sz w:val="20"/>
      <w:lang w:val="en-GB"/>
    </w:rPr>
  </w:style>
  <w:style w:type="character" w:customStyle="1" w:styleId="Heading6Char">
    <w:name w:val="Heading 6 Char"/>
    <w:basedOn w:val="DefaultParagraphFont"/>
    <w:link w:val="Heading6"/>
    <w:uiPriority w:val="9"/>
    <w:rsid w:val="0037237F"/>
    <w:rPr>
      <w:rFonts w:ascii="Arial" w:hAnsi="Arial"/>
      <w:b/>
      <w:bCs/>
      <w:spacing w:val="-4"/>
      <w:lang w:val="en-GB"/>
    </w:rPr>
  </w:style>
  <w:style w:type="character" w:customStyle="1" w:styleId="Heading7Char">
    <w:name w:val="Heading 7 Char"/>
    <w:basedOn w:val="DefaultParagraphFont"/>
    <w:link w:val="Heading7"/>
    <w:uiPriority w:val="9"/>
    <w:rsid w:val="0037237F"/>
    <w:rPr>
      <w:rFonts w:ascii="Arial" w:hAnsi="Arial"/>
      <w:spacing w:val="-4"/>
      <w:u w:val="single"/>
      <w:lang w:val="en-GB"/>
    </w:rPr>
  </w:style>
  <w:style w:type="character" w:customStyle="1" w:styleId="Heading8Char">
    <w:name w:val="Heading 8 Char"/>
    <w:basedOn w:val="DefaultParagraphFont"/>
    <w:link w:val="Heading8"/>
    <w:uiPriority w:val="9"/>
    <w:rsid w:val="0037237F"/>
    <w:rPr>
      <w:rFonts w:asciiTheme="majorHAnsi" w:eastAsiaTheme="majorEastAsia" w:hAnsiTheme="majorHAnsi" w:cstheme="majorBidi"/>
      <w:color w:val="272727" w:themeColor="text1" w:themeTint="D8"/>
      <w:spacing w:val="-4"/>
      <w:sz w:val="21"/>
      <w:szCs w:val="21"/>
      <w:lang w:val="en-GB"/>
    </w:rPr>
  </w:style>
  <w:style w:type="character" w:customStyle="1" w:styleId="Heading9Char">
    <w:name w:val="Heading 9 Char"/>
    <w:basedOn w:val="DefaultParagraphFont"/>
    <w:link w:val="Heading9"/>
    <w:uiPriority w:val="9"/>
    <w:rsid w:val="0037237F"/>
    <w:rPr>
      <w:rFonts w:asciiTheme="majorHAnsi" w:eastAsiaTheme="majorEastAsia" w:hAnsiTheme="majorHAnsi" w:cstheme="majorBidi"/>
      <w:i/>
      <w:iCs/>
      <w:color w:val="272727" w:themeColor="text1" w:themeTint="D8"/>
      <w:spacing w:val="-4"/>
      <w:sz w:val="21"/>
      <w:szCs w:val="21"/>
      <w:lang w:val="en-GB"/>
    </w:rPr>
  </w:style>
  <w:style w:type="paragraph" w:styleId="NoSpacing">
    <w:name w:val="No Spacing"/>
    <w:uiPriority w:val="1"/>
    <w:qFormat/>
    <w:rsid w:val="009671DA"/>
    <w:pPr>
      <w:jc w:val="both"/>
    </w:pPr>
    <w:rPr>
      <w:rFonts w:ascii="Arial" w:hAnsi="Arial"/>
      <w:spacing w:val="-4"/>
    </w:rPr>
  </w:style>
  <w:style w:type="paragraph" w:styleId="Header">
    <w:name w:val="header"/>
    <w:basedOn w:val="Normal"/>
    <w:link w:val="HeaderChar"/>
    <w:uiPriority w:val="99"/>
    <w:unhideWhenUsed/>
    <w:rsid w:val="0037237F"/>
    <w:pPr>
      <w:pBdr>
        <w:bottom w:val="single" w:sz="18" w:space="1" w:color="auto"/>
      </w:pBdr>
      <w:tabs>
        <w:tab w:val="center" w:pos="3261"/>
        <w:tab w:val="right" w:pos="6663"/>
      </w:tabs>
      <w:spacing w:before="0" w:after="0"/>
    </w:pPr>
    <w:rPr>
      <w:b/>
      <w:caps/>
      <w:sz w:val="16"/>
    </w:rPr>
  </w:style>
  <w:style w:type="character" w:customStyle="1" w:styleId="HeaderChar">
    <w:name w:val="Header Char"/>
    <w:basedOn w:val="DefaultParagraphFont"/>
    <w:link w:val="Header"/>
    <w:uiPriority w:val="99"/>
    <w:rsid w:val="0037237F"/>
    <w:rPr>
      <w:rFonts w:ascii="Arial" w:hAnsi="Arial"/>
      <w:b/>
      <w:caps/>
      <w:spacing w:val="-4"/>
      <w:sz w:val="16"/>
    </w:rPr>
  </w:style>
  <w:style w:type="paragraph" w:styleId="Footer">
    <w:name w:val="footer"/>
    <w:basedOn w:val="Normal"/>
    <w:link w:val="FooterChar"/>
    <w:uiPriority w:val="99"/>
    <w:unhideWhenUsed/>
    <w:rsid w:val="0037237F"/>
    <w:pPr>
      <w:pBdr>
        <w:top w:val="single" w:sz="4" w:space="1" w:color="auto"/>
      </w:pBdr>
      <w:tabs>
        <w:tab w:val="right" w:pos="6663"/>
      </w:tabs>
      <w:spacing w:before="0" w:after="0"/>
    </w:pPr>
  </w:style>
  <w:style w:type="character" w:customStyle="1" w:styleId="FooterChar">
    <w:name w:val="Footer Char"/>
    <w:basedOn w:val="DefaultParagraphFont"/>
    <w:link w:val="Footer"/>
    <w:uiPriority w:val="99"/>
    <w:rsid w:val="0037237F"/>
    <w:rPr>
      <w:rFonts w:ascii="Arial" w:hAnsi="Arial"/>
      <w:spacing w:val="-4"/>
    </w:rPr>
  </w:style>
  <w:style w:type="paragraph" w:styleId="Title">
    <w:name w:val="Title"/>
    <w:basedOn w:val="Normal"/>
    <w:next w:val="Normal"/>
    <w:link w:val="TitleChar"/>
    <w:uiPriority w:val="10"/>
    <w:unhideWhenUsed/>
    <w:qFormat/>
    <w:rsid w:val="0037237F"/>
    <w:pPr>
      <w:spacing w:before="0" w:after="0"/>
      <w:contextualSpacing/>
    </w:pPr>
    <w:rPr>
      <w:rFonts w:ascii="Arial Black" w:eastAsiaTheme="majorEastAsia" w:hAnsi="Arial Black" w:cstheme="majorBidi"/>
      <w:spacing w:val="-10"/>
      <w:kern w:val="28"/>
      <w:sz w:val="32"/>
      <w:szCs w:val="56"/>
    </w:rPr>
  </w:style>
  <w:style w:type="character" w:customStyle="1" w:styleId="TitleChar">
    <w:name w:val="Title Char"/>
    <w:basedOn w:val="DefaultParagraphFont"/>
    <w:link w:val="Title"/>
    <w:uiPriority w:val="10"/>
    <w:rsid w:val="0037237F"/>
    <w:rPr>
      <w:rFonts w:ascii="Arial Black" w:eastAsiaTheme="majorEastAsia" w:hAnsi="Arial Black" w:cstheme="majorBidi"/>
      <w:spacing w:val="-10"/>
      <w:kern w:val="28"/>
      <w:sz w:val="32"/>
      <w:szCs w:val="56"/>
      <w:lang w:val="en-GB"/>
    </w:rPr>
  </w:style>
  <w:style w:type="character" w:styleId="Hyperlink">
    <w:name w:val="Hyperlink"/>
    <w:basedOn w:val="DefaultParagraphFont"/>
    <w:uiPriority w:val="99"/>
    <w:rsid w:val="0037237F"/>
    <w:rPr>
      <w:color w:val="0563C1" w:themeColor="hyperlink"/>
      <w:u w:val="single"/>
    </w:rPr>
  </w:style>
  <w:style w:type="paragraph" w:styleId="TOC1">
    <w:name w:val="toc 1"/>
    <w:basedOn w:val="Normal"/>
    <w:next w:val="Normal"/>
    <w:autoRedefine/>
    <w:uiPriority w:val="39"/>
    <w:unhideWhenUsed/>
    <w:rsid w:val="0037237F"/>
    <w:pPr>
      <w:tabs>
        <w:tab w:val="left" w:pos="1276"/>
        <w:tab w:val="right" w:pos="6113"/>
      </w:tabs>
      <w:spacing w:after="100"/>
    </w:pPr>
    <w:rPr>
      <w:rFonts w:eastAsiaTheme="minorEastAsia" w:cs="Arial"/>
      <w:b/>
      <w:bCs/>
      <w:caps/>
      <w:noProof/>
      <w:sz w:val="16"/>
      <w:szCs w:val="16"/>
      <w:lang w:eastAsia="en-ZA"/>
    </w:rPr>
  </w:style>
  <w:style w:type="paragraph" w:styleId="TOC2">
    <w:name w:val="toc 2"/>
    <w:basedOn w:val="Normal"/>
    <w:next w:val="Normal"/>
    <w:autoRedefine/>
    <w:uiPriority w:val="39"/>
    <w:unhideWhenUsed/>
    <w:rsid w:val="0037237F"/>
    <w:pPr>
      <w:tabs>
        <w:tab w:val="left" w:pos="709"/>
        <w:tab w:val="right" w:pos="6113"/>
      </w:tabs>
      <w:spacing w:after="100"/>
    </w:pPr>
    <w:rPr>
      <w:noProof/>
      <w:sz w:val="16"/>
    </w:rPr>
  </w:style>
  <w:style w:type="paragraph" w:styleId="TOC3">
    <w:name w:val="toc 3"/>
    <w:basedOn w:val="Normal"/>
    <w:next w:val="Normal"/>
    <w:autoRedefine/>
    <w:uiPriority w:val="39"/>
    <w:unhideWhenUsed/>
    <w:rsid w:val="0037237F"/>
    <w:pPr>
      <w:tabs>
        <w:tab w:val="left" w:pos="1418"/>
        <w:tab w:val="right" w:pos="6113"/>
      </w:tabs>
      <w:spacing w:after="100"/>
      <w:ind w:left="709"/>
    </w:pPr>
    <w:rPr>
      <w:noProof/>
      <w:sz w:val="16"/>
    </w:rPr>
  </w:style>
  <w:style w:type="table" w:styleId="TableGrid">
    <w:name w:val="Table Grid"/>
    <w:basedOn w:val="TableNormal"/>
    <w:uiPriority w:val="39"/>
    <w:rsid w:val="00372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237F"/>
    <w:pPr>
      <w:keepNext/>
      <w:keepLines/>
      <w:numPr>
        <w:numId w:val="0"/>
      </w:numPr>
      <w:pBdr>
        <w:bottom w:val="single" w:sz="18" w:space="1" w:color="auto"/>
      </w:pBdr>
      <w:spacing w:before="240" w:after="240"/>
      <w:contextualSpacing w:val="0"/>
      <w:jc w:val="center"/>
      <w:outlineLvl w:val="9"/>
    </w:pPr>
    <w:rPr>
      <w:rFonts w:ascii="Arial" w:hAnsi="Arial" w:cs="Arial"/>
      <w:b/>
      <w:bCs/>
      <w:caps/>
      <w:spacing w:val="0"/>
      <w:kern w:val="0"/>
      <w:sz w:val="28"/>
      <w:szCs w:val="32"/>
      <w:lang w:val="en-US"/>
    </w:rPr>
  </w:style>
  <w:style w:type="table" w:customStyle="1" w:styleId="SamplePHCTable">
    <w:name w:val="Sample PHC Table"/>
    <w:basedOn w:val="TableGrid"/>
    <w:uiPriority w:val="99"/>
    <w:rsid w:val="0037237F"/>
    <w:pPr>
      <w:jc w:val="center"/>
    </w:pPr>
    <w:rPr>
      <w:rFonts w:ascii="Arial" w:hAnsi="Arial"/>
      <w:sz w:val="16"/>
    </w:rPr>
    <w:tblPr/>
    <w:tcPr>
      <w:shd w:val="clear" w:color="auto" w:fill="auto"/>
    </w:tcPr>
    <w:tblStylePr w:type="firstRow">
      <w:pPr>
        <w:wordWrap/>
        <w:spacing w:beforeLines="0" w:before="0" w:beforeAutospacing="0" w:afterLines="0" w:after="0" w:afterAutospacing="0"/>
        <w:jc w:val="left"/>
      </w:pPr>
      <w:rPr>
        <w:rFonts w:ascii="Arial" w:hAnsi="Arial"/>
        <w:b/>
        <w:sz w:val="16"/>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vAlign w:val="center"/>
      </w:tcPr>
    </w:tblStylePr>
    <w:tblStylePr w:type="lastRow">
      <w:pPr>
        <w:wordWrap/>
        <w:jc w:val="left"/>
      </w:pPr>
      <w:rPr>
        <w:rFonts w:ascii="Arial" w:hAnsi="Arial"/>
        <w:b w:val="0"/>
        <w:sz w:val="12"/>
      </w:rPr>
      <w:tblPr/>
      <w:tcPr>
        <w:tcBorders>
          <w:top w:val="nil"/>
          <w:left w:val="nil"/>
          <w:bottom w:val="nil"/>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37237F"/>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37237F"/>
    <w:rPr>
      <w:rFonts w:ascii="Segoe UI" w:hAnsi="Segoe UI" w:cs="Segoe UI"/>
      <w:spacing w:val="-4"/>
      <w:lang w:val="en-GB"/>
    </w:rPr>
  </w:style>
  <w:style w:type="paragraph" w:styleId="TOC9">
    <w:name w:val="toc 9"/>
    <w:aliases w:val="CH TOC 4"/>
    <w:basedOn w:val="Normal"/>
    <w:next w:val="Normal"/>
    <w:autoRedefine/>
    <w:uiPriority w:val="39"/>
    <w:unhideWhenUsed/>
    <w:rsid w:val="00293547"/>
    <w:pPr>
      <w:tabs>
        <w:tab w:val="left" w:pos="3119"/>
        <w:tab w:val="right" w:pos="6113"/>
      </w:tabs>
      <w:spacing w:before="40" w:after="40"/>
      <w:ind w:left="2552" w:hanging="851"/>
    </w:pPr>
    <w:rPr>
      <w:rFonts w:ascii="Arial Black" w:hAnsi="Arial Black"/>
      <w:noProof/>
      <w:sz w:val="20"/>
    </w:rPr>
  </w:style>
  <w:style w:type="paragraph" w:styleId="TOC8">
    <w:name w:val="toc 8"/>
    <w:aliases w:val="CH TOC 3"/>
    <w:basedOn w:val="Normal"/>
    <w:next w:val="Normal"/>
    <w:autoRedefine/>
    <w:uiPriority w:val="39"/>
    <w:unhideWhenUsed/>
    <w:rsid w:val="00293547"/>
    <w:pPr>
      <w:tabs>
        <w:tab w:val="left" w:pos="2381"/>
        <w:tab w:val="right" w:pos="6113"/>
      </w:tabs>
      <w:spacing w:before="40" w:after="40"/>
      <w:ind w:left="1702" w:hanging="851"/>
    </w:pPr>
    <w:rPr>
      <w:rFonts w:ascii="Arial Black" w:hAnsi="Arial Black"/>
      <w:noProof/>
      <w:sz w:val="20"/>
    </w:rPr>
  </w:style>
  <w:style w:type="character" w:styleId="CommentReference">
    <w:name w:val="annotation reference"/>
    <w:basedOn w:val="DefaultParagraphFont"/>
    <w:uiPriority w:val="99"/>
    <w:semiHidden/>
    <w:unhideWhenUsed/>
    <w:rsid w:val="0037237F"/>
    <w:rPr>
      <w:sz w:val="16"/>
      <w:szCs w:val="16"/>
    </w:rPr>
  </w:style>
  <w:style w:type="paragraph" w:styleId="CommentText">
    <w:name w:val="annotation text"/>
    <w:basedOn w:val="Normal"/>
    <w:link w:val="CommentTextChar"/>
    <w:uiPriority w:val="99"/>
    <w:unhideWhenUsed/>
    <w:rsid w:val="0037237F"/>
    <w:rPr>
      <w:sz w:val="20"/>
      <w:szCs w:val="20"/>
    </w:rPr>
  </w:style>
  <w:style w:type="character" w:customStyle="1" w:styleId="CommentTextChar">
    <w:name w:val="Comment Text Char"/>
    <w:basedOn w:val="DefaultParagraphFont"/>
    <w:link w:val="CommentText"/>
    <w:uiPriority w:val="99"/>
    <w:rsid w:val="0037237F"/>
    <w:rPr>
      <w:rFonts w:ascii="Arial" w:hAnsi="Arial"/>
      <w:spacing w:val="-4"/>
      <w:sz w:val="20"/>
      <w:szCs w:val="20"/>
      <w:lang w:val="en-GB"/>
    </w:rPr>
  </w:style>
  <w:style w:type="paragraph" w:styleId="CommentSubject">
    <w:name w:val="annotation subject"/>
    <w:basedOn w:val="CommentText"/>
    <w:next w:val="CommentText"/>
    <w:link w:val="CommentSubjectChar"/>
    <w:uiPriority w:val="99"/>
    <w:semiHidden/>
    <w:unhideWhenUsed/>
    <w:rsid w:val="0037237F"/>
    <w:rPr>
      <w:b/>
      <w:bCs/>
    </w:rPr>
  </w:style>
  <w:style w:type="character" w:customStyle="1" w:styleId="CommentSubjectChar">
    <w:name w:val="Comment Subject Char"/>
    <w:basedOn w:val="CommentTextChar"/>
    <w:link w:val="CommentSubject"/>
    <w:uiPriority w:val="99"/>
    <w:semiHidden/>
    <w:rsid w:val="0037237F"/>
    <w:rPr>
      <w:rFonts w:ascii="Arial" w:hAnsi="Arial"/>
      <w:b/>
      <w:bCs/>
      <w:spacing w:val="-4"/>
      <w:sz w:val="20"/>
      <w:szCs w:val="20"/>
      <w:lang w:val="en-GB"/>
    </w:rPr>
  </w:style>
  <w:style w:type="paragraph" w:styleId="TOC7">
    <w:name w:val="toc 7"/>
    <w:aliases w:val="CH TOC 2"/>
    <w:basedOn w:val="Normal"/>
    <w:next w:val="Normal"/>
    <w:autoRedefine/>
    <w:uiPriority w:val="39"/>
    <w:unhideWhenUsed/>
    <w:rsid w:val="00293547"/>
    <w:pPr>
      <w:tabs>
        <w:tab w:val="left" w:pos="1531"/>
        <w:tab w:val="right" w:leader="dot" w:pos="6113"/>
      </w:tabs>
      <w:spacing w:before="40" w:after="40"/>
      <w:ind w:left="851" w:hanging="624"/>
    </w:pPr>
    <w:rPr>
      <w:rFonts w:ascii="Arial Black" w:hAnsi="Arial Black"/>
      <w:noProof/>
      <w:sz w:val="20"/>
      <w:szCs w:val="20"/>
    </w:rPr>
  </w:style>
  <w:style w:type="paragraph" w:customStyle="1" w:styleId="Heading1A">
    <w:name w:val="Heading 1A"/>
    <w:aliases w:val="Chapter Sub-Heading"/>
    <w:basedOn w:val="Heading2"/>
    <w:next w:val="Normal"/>
    <w:uiPriority w:val="9"/>
    <w:qFormat/>
    <w:rsid w:val="0037237F"/>
    <w:pPr>
      <w:pageBreakBefore/>
      <w:numPr>
        <w:ilvl w:val="0"/>
        <w:numId w:val="0"/>
      </w:numPr>
      <w:ind w:left="578" w:hanging="578"/>
      <w:jc w:val="center"/>
    </w:pPr>
    <w:rPr>
      <w:sz w:val="24"/>
      <w:szCs w:val="24"/>
    </w:rPr>
  </w:style>
  <w:style w:type="paragraph" w:styleId="TOC6">
    <w:name w:val="toc 6"/>
    <w:aliases w:val="CH TOC 1A"/>
    <w:basedOn w:val="Normal"/>
    <w:next w:val="Normal"/>
    <w:autoRedefine/>
    <w:uiPriority w:val="39"/>
    <w:unhideWhenUsed/>
    <w:rsid w:val="0037237F"/>
    <w:pPr>
      <w:tabs>
        <w:tab w:val="right" w:leader="dot" w:pos="6113"/>
      </w:tabs>
      <w:spacing w:after="100"/>
    </w:pPr>
    <w:rPr>
      <w:rFonts w:ascii="Arial Black" w:hAnsi="Arial Black"/>
      <w:noProof/>
      <w:sz w:val="24"/>
      <w:szCs w:val="24"/>
    </w:rPr>
  </w:style>
  <w:style w:type="paragraph" w:styleId="TOC4">
    <w:name w:val="toc 4"/>
    <w:basedOn w:val="Normal"/>
    <w:next w:val="Normal"/>
    <w:autoRedefine/>
    <w:uiPriority w:val="39"/>
    <w:unhideWhenUsed/>
    <w:rsid w:val="0037237F"/>
    <w:pPr>
      <w:tabs>
        <w:tab w:val="left" w:pos="2268"/>
        <w:tab w:val="right" w:pos="6113"/>
      </w:tabs>
      <w:spacing w:after="100"/>
      <w:ind w:left="2268" w:hanging="850"/>
    </w:pPr>
    <w:rPr>
      <w:noProof/>
      <w:sz w:val="16"/>
      <w:szCs w:val="16"/>
    </w:rPr>
  </w:style>
  <w:style w:type="paragraph" w:styleId="ListParagraph">
    <w:name w:val="List Paragraph"/>
    <w:basedOn w:val="NoSpacing"/>
    <w:uiPriority w:val="2"/>
    <w:qFormat/>
    <w:rsid w:val="0037237F"/>
    <w:pPr>
      <w:numPr>
        <w:numId w:val="4"/>
      </w:numPr>
      <w:contextualSpacing/>
    </w:pPr>
  </w:style>
  <w:style w:type="paragraph" w:customStyle="1" w:styleId="BulletTherapeuticclass">
    <w:name w:val="Bullet Therapeutic class"/>
    <w:basedOn w:val="NoSpacing"/>
    <w:next w:val="Normal"/>
    <w:uiPriority w:val="4"/>
    <w:qFormat/>
    <w:rsid w:val="0037237F"/>
    <w:pPr>
      <w:numPr>
        <w:numId w:val="1"/>
      </w:numPr>
    </w:pPr>
  </w:style>
  <w:style w:type="character" w:customStyle="1" w:styleId="UnresolvedMention1">
    <w:name w:val="Unresolved Mention1"/>
    <w:basedOn w:val="DefaultParagraphFont"/>
    <w:uiPriority w:val="99"/>
    <w:semiHidden/>
    <w:unhideWhenUsed/>
    <w:rsid w:val="0037237F"/>
    <w:rPr>
      <w:color w:val="605E5C"/>
      <w:shd w:val="clear" w:color="auto" w:fill="E1DFDD"/>
    </w:rPr>
  </w:style>
  <w:style w:type="character" w:styleId="FollowedHyperlink">
    <w:name w:val="FollowedHyperlink"/>
    <w:basedOn w:val="DefaultParagraphFont"/>
    <w:uiPriority w:val="99"/>
    <w:semiHidden/>
    <w:unhideWhenUsed/>
    <w:rsid w:val="0037237F"/>
    <w:rPr>
      <w:color w:val="954F72" w:themeColor="followedHyperlink"/>
      <w:u w:val="single"/>
    </w:rPr>
  </w:style>
  <w:style w:type="paragraph" w:customStyle="1" w:styleId="BulletMedicine">
    <w:name w:val="Bullet Medicine"/>
    <w:basedOn w:val="BulletTherapeuticclass"/>
    <w:next w:val="Normal"/>
    <w:uiPriority w:val="5"/>
    <w:qFormat/>
    <w:rsid w:val="005C4479"/>
    <w:pPr>
      <w:numPr>
        <w:numId w:val="5"/>
      </w:numPr>
    </w:pPr>
  </w:style>
  <w:style w:type="paragraph" w:customStyle="1" w:styleId="BulletDirectionsInstructions">
    <w:name w:val="Bullet Directions/Instructions"/>
    <w:basedOn w:val="BulletTherapeuticclass"/>
    <w:next w:val="Normal"/>
    <w:uiPriority w:val="6"/>
    <w:qFormat/>
    <w:rsid w:val="0037237F"/>
    <w:pPr>
      <w:numPr>
        <w:numId w:val="2"/>
      </w:numPr>
    </w:pPr>
  </w:style>
  <w:style w:type="paragraph" w:customStyle="1" w:styleId="ICD10">
    <w:name w:val="ICD 10"/>
    <w:basedOn w:val="NoSpacing"/>
    <w:next w:val="Normal"/>
    <w:uiPriority w:val="9"/>
    <w:qFormat/>
    <w:rsid w:val="0037237F"/>
    <w:rPr>
      <w:sz w:val="16"/>
    </w:rPr>
  </w:style>
  <w:style w:type="paragraph" w:styleId="EndnoteText">
    <w:name w:val="endnote text"/>
    <w:basedOn w:val="Normal"/>
    <w:link w:val="EndnoteTextChar"/>
    <w:uiPriority w:val="10"/>
    <w:rsid w:val="00293547"/>
    <w:pPr>
      <w:jc w:val="left"/>
    </w:pPr>
    <w:rPr>
      <w:sz w:val="12"/>
    </w:rPr>
  </w:style>
  <w:style w:type="paragraph" w:customStyle="1" w:styleId="TableText">
    <w:name w:val="Table Text"/>
    <w:basedOn w:val="NoSpacing"/>
    <w:uiPriority w:val="3"/>
    <w:qFormat/>
    <w:rsid w:val="0037237F"/>
    <w:rPr>
      <w:sz w:val="16"/>
      <w:szCs w:val="16"/>
    </w:rPr>
  </w:style>
  <w:style w:type="character" w:customStyle="1" w:styleId="EndnoteTextChar">
    <w:name w:val="Endnote Text Char"/>
    <w:basedOn w:val="DefaultParagraphFont"/>
    <w:link w:val="EndnoteText"/>
    <w:uiPriority w:val="10"/>
    <w:rsid w:val="00293547"/>
    <w:rPr>
      <w:rFonts w:ascii="Arial" w:hAnsi="Arial"/>
      <w:spacing w:val="-4"/>
      <w:sz w:val="12"/>
      <w:lang w:val="en-GB"/>
    </w:rPr>
  </w:style>
  <w:style w:type="character" w:styleId="EndnoteReference">
    <w:name w:val="endnote reference"/>
    <w:basedOn w:val="DefaultParagraphFont"/>
    <w:uiPriority w:val="10"/>
    <w:rsid w:val="0037237F"/>
    <w:rPr>
      <w:sz w:val="12"/>
      <w:szCs w:val="12"/>
      <w:vertAlign w:val="superscript"/>
    </w:rPr>
  </w:style>
  <w:style w:type="character" w:styleId="Emphasis">
    <w:name w:val="Emphasis"/>
    <w:basedOn w:val="DefaultParagraphFont"/>
    <w:uiPriority w:val="20"/>
    <w:qFormat/>
    <w:rsid w:val="0037237F"/>
    <w:rPr>
      <w:i/>
      <w:iCs/>
    </w:rPr>
  </w:style>
  <w:style w:type="paragraph" w:customStyle="1" w:styleId="LoEText">
    <w:name w:val="LoE Text"/>
    <w:basedOn w:val="TableText"/>
    <w:uiPriority w:val="3"/>
    <w:qFormat/>
    <w:rsid w:val="0037237F"/>
    <w:pPr>
      <w:framePr w:hSpace="284" w:wrap="around" w:vAnchor="text" w:hAnchor="margin" w:xAlign="right" w:y="1"/>
      <w:suppressOverlap/>
      <w:jc w:val="right"/>
    </w:pPr>
    <w:rPr>
      <w:i/>
    </w:rPr>
  </w:style>
  <w:style w:type="paragraph" w:customStyle="1" w:styleId="Centeredbox">
    <w:name w:val="Centered box"/>
    <w:basedOn w:val="Normal"/>
    <w:uiPriority w:val="7"/>
    <w:qFormat/>
    <w:rsid w:val="0037237F"/>
    <w:pPr>
      <w:pBdr>
        <w:top w:val="double" w:sz="4" w:space="1" w:color="auto"/>
        <w:left w:val="double" w:sz="4" w:space="4" w:color="auto"/>
        <w:bottom w:val="double" w:sz="4" w:space="1" w:color="auto"/>
        <w:right w:val="double" w:sz="4" w:space="4" w:color="auto"/>
      </w:pBdr>
      <w:spacing w:before="120" w:after="120"/>
      <w:jc w:val="center"/>
    </w:pPr>
  </w:style>
  <w:style w:type="character" w:styleId="Strong">
    <w:name w:val="Strong"/>
    <w:basedOn w:val="DefaultParagraphFont"/>
    <w:uiPriority w:val="22"/>
    <w:qFormat/>
    <w:rsid w:val="0037237F"/>
    <w:rPr>
      <w:b/>
      <w:bCs/>
    </w:rPr>
  </w:style>
  <w:style w:type="paragraph" w:customStyle="1" w:styleId="BulletNutrition">
    <w:name w:val="Bullet Nutrition"/>
    <w:basedOn w:val="BulletMedicine"/>
    <w:uiPriority w:val="5"/>
    <w:qFormat/>
    <w:rsid w:val="0037237F"/>
    <w:pPr>
      <w:numPr>
        <w:numId w:val="3"/>
      </w:numPr>
    </w:pPr>
  </w:style>
  <w:style w:type="paragraph" w:customStyle="1" w:styleId="ListParagraphNumbered">
    <w:name w:val="List Paragraph Numbered"/>
    <w:basedOn w:val="NoSpacing"/>
    <w:uiPriority w:val="2"/>
    <w:qFormat/>
    <w:rsid w:val="00220ABE"/>
    <w:pPr>
      <w:numPr>
        <w:numId w:val="6"/>
      </w:numPr>
    </w:pPr>
  </w:style>
  <w:style w:type="character" w:customStyle="1" w:styleId="EndnoteReference8">
    <w:name w:val="Endnote Reference 8"/>
    <w:basedOn w:val="DefaultParagraphFont"/>
    <w:uiPriority w:val="10"/>
    <w:rsid w:val="008D7E91"/>
    <w:rPr>
      <w:sz w:val="16"/>
      <w:vertAlign w:val="superscript"/>
    </w:rPr>
  </w:style>
  <w:style w:type="paragraph" w:styleId="Revision">
    <w:name w:val="Revision"/>
    <w:hidden/>
    <w:uiPriority w:val="99"/>
    <w:semiHidden/>
    <w:rsid w:val="00CE4531"/>
    <w:rPr>
      <w:rFonts w:ascii="Times New Roman" w:eastAsia="Times New Roman" w:hAnsi="Times New Roman" w:cs="Times New Roman"/>
      <w:sz w:val="24"/>
      <w:szCs w:val="24"/>
      <w:lang w:val="en-GB"/>
    </w:rPr>
  </w:style>
  <w:style w:type="paragraph" w:styleId="Index1">
    <w:name w:val="index 1"/>
    <w:basedOn w:val="Normal"/>
    <w:next w:val="Normal"/>
    <w:autoRedefine/>
    <w:uiPriority w:val="99"/>
    <w:semiHidden/>
    <w:unhideWhenUsed/>
    <w:rsid w:val="00E30FA8"/>
    <w:pPr>
      <w:spacing w:before="0" w:after="0"/>
      <w:ind w:left="180" w:hanging="180"/>
    </w:pPr>
  </w:style>
  <w:style w:type="paragraph" w:styleId="Index2">
    <w:name w:val="index 2"/>
    <w:basedOn w:val="Normal"/>
    <w:next w:val="Normal"/>
    <w:autoRedefine/>
    <w:uiPriority w:val="99"/>
    <w:semiHidden/>
    <w:unhideWhenUsed/>
    <w:rsid w:val="00E30FA8"/>
    <w:pPr>
      <w:spacing w:before="0" w:after="0"/>
      <w:ind w:left="360" w:hanging="180"/>
    </w:pPr>
  </w:style>
  <w:style w:type="paragraph" w:customStyle="1" w:styleId="Default">
    <w:name w:val="Default"/>
    <w:rsid w:val="008E2BE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0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132">
      <w:bodyDiv w:val="1"/>
      <w:marLeft w:val="0"/>
      <w:marRight w:val="0"/>
      <w:marTop w:val="0"/>
      <w:marBottom w:val="0"/>
      <w:divBdr>
        <w:top w:val="none" w:sz="0" w:space="0" w:color="auto"/>
        <w:left w:val="none" w:sz="0" w:space="0" w:color="auto"/>
        <w:bottom w:val="none" w:sz="0" w:space="0" w:color="auto"/>
        <w:right w:val="none" w:sz="0" w:space="0" w:color="auto"/>
      </w:divBdr>
      <w:divsChild>
        <w:div w:id="961615003">
          <w:marLeft w:val="0"/>
          <w:marRight w:val="0"/>
          <w:marTop w:val="0"/>
          <w:marBottom w:val="0"/>
          <w:divBdr>
            <w:top w:val="none" w:sz="0" w:space="0" w:color="auto"/>
            <w:left w:val="none" w:sz="0" w:space="0" w:color="auto"/>
            <w:bottom w:val="none" w:sz="0" w:space="0" w:color="auto"/>
            <w:right w:val="none" w:sz="0" w:space="0" w:color="auto"/>
          </w:divBdr>
          <w:divsChild>
            <w:div w:id="776945016">
              <w:marLeft w:val="0"/>
              <w:marRight w:val="0"/>
              <w:marTop w:val="0"/>
              <w:marBottom w:val="0"/>
              <w:divBdr>
                <w:top w:val="none" w:sz="0" w:space="0" w:color="auto"/>
                <w:left w:val="none" w:sz="0" w:space="0" w:color="auto"/>
                <w:bottom w:val="none" w:sz="0" w:space="0" w:color="auto"/>
                <w:right w:val="none" w:sz="0" w:space="0" w:color="auto"/>
              </w:divBdr>
              <w:divsChild>
                <w:div w:id="82805536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09723200">
      <w:bodyDiv w:val="1"/>
      <w:marLeft w:val="0"/>
      <w:marRight w:val="0"/>
      <w:marTop w:val="0"/>
      <w:marBottom w:val="0"/>
      <w:divBdr>
        <w:top w:val="none" w:sz="0" w:space="0" w:color="auto"/>
        <w:left w:val="none" w:sz="0" w:space="0" w:color="auto"/>
        <w:bottom w:val="none" w:sz="0" w:space="0" w:color="auto"/>
        <w:right w:val="none" w:sz="0" w:space="0" w:color="auto"/>
      </w:divBdr>
      <w:divsChild>
        <w:div w:id="482039268">
          <w:marLeft w:val="0"/>
          <w:marRight w:val="0"/>
          <w:marTop w:val="0"/>
          <w:marBottom w:val="0"/>
          <w:divBdr>
            <w:top w:val="none" w:sz="0" w:space="0" w:color="auto"/>
            <w:left w:val="none" w:sz="0" w:space="0" w:color="auto"/>
            <w:bottom w:val="none" w:sz="0" w:space="0" w:color="auto"/>
            <w:right w:val="none" w:sz="0" w:space="0" w:color="auto"/>
          </w:divBdr>
          <w:divsChild>
            <w:div w:id="569578007">
              <w:marLeft w:val="0"/>
              <w:marRight w:val="0"/>
              <w:marTop w:val="0"/>
              <w:marBottom w:val="0"/>
              <w:divBdr>
                <w:top w:val="none" w:sz="0" w:space="0" w:color="auto"/>
                <w:left w:val="none" w:sz="0" w:space="0" w:color="auto"/>
                <w:bottom w:val="none" w:sz="0" w:space="0" w:color="auto"/>
                <w:right w:val="none" w:sz="0" w:space="0" w:color="auto"/>
              </w:divBdr>
              <w:divsChild>
                <w:div w:id="2680493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www.who.int/reproductivehealth/publications/family_planning/MEC-5/en/" TargetMode="External"/><Relationship Id="rId18" Type="http://schemas.openxmlformats.org/officeDocument/2006/relationships/hyperlink" Target="https://www.who.int/reproductivehealth/publications/fp-global-handbook/en/" TargetMode="External"/><Relationship Id="rId26" Type="http://schemas.openxmlformats.org/officeDocument/2006/relationships/hyperlink" Target="https://www.ncbi.nlm.nih.gov/pubmed/19679614" TargetMode="External"/><Relationship Id="rId21" Type="http://schemas.openxmlformats.org/officeDocument/2006/relationships/hyperlink" Target="https://www.who.int/reproductivehealth/publications/contraceptive-eligibility-women-at-high-risk-of-HIV/en/" TargetMode="External"/><Relationship Id="rId34" Type="http://schemas.openxmlformats.org/officeDocument/2006/relationships/hyperlink" Target="https://www.ncbi.nlm.nih.gov/pubmed/27234874" TargetMode="External"/><Relationship Id="rId7" Type="http://schemas.openxmlformats.org/officeDocument/2006/relationships/hyperlink" Target="http://www.who.int/reproductivehealth/publications/family_planning/MEC-5/en/" TargetMode="External"/><Relationship Id="rId12" Type="http://schemas.openxmlformats.org/officeDocument/2006/relationships/hyperlink" Target="http://www.ncbi.nlm.nih.gov/pubmed/24798768" TargetMode="External"/><Relationship Id="rId17" Type="http://schemas.openxmlformats.org/officeDocument/2006/relationships/hyperlink" Target="https://www.who.int/publications/i/item/9789241549158" TargetMode="External"/><Relationship Id="rId25" Type="http://schemas.openxmlformats.org/officeDocument/2006/relationships/hyperlink" Target="https://www.ncbi.nlm.nih.gov/pubmed/22027398" TargetMode="External"/><Relationship Id="rId33" Type="http://schemas.openxmlformats.org/officeDocument/2006/relationships/hyperlink" Target="https://journals.lww.com/greenjournal/Fulltext/9900/Double_Dosing_Levonorgestrel_Based_Emergency.490.aspx" TargetMode="External"/><Relationship Id="rId38" Type="http://schemas.openxmlformats.org/officeDocument/2006/relationships/hyperlink" Target="https://www.fsrh.org/standards-and-guidance/fsrh-guidelines-and-statements/management-of-srh-issues/problematic-bleeding/" TargetMode="External"/><Relationship Id="rId2" Type="http://schemas.openxmlformats.org/officeDocument/2006/relationships/hyperlink" Target="https://pubmed.ncbi.nlm.nih.gov/31517549/" TargetMode="External"/><Relationship Id="rId16" Type="http://schemas.openxmlformats.org/officeDocument/2006/relationships/hyperlink" Target="https://pubmed.ncbi.nlm.nih.gov/32442189/" TargetMode="External"/><Relationship Id="rId20" Type="http://schemas.openxmlformats.org/officeDocument/2006/relationships/hyperlink" Target="http://www.ncbi.nlm.nih.gov/pubmed/16856087" TargetMode="External"/><Relationship Id="rId29" Type="http://schemas.openxmlformats.org/officeDocument/2006/relationships/hyperlink" Target="https://pubmed.ncbi.nlm.nih.gov/31053605/" TargetMode="External"/><Relationship Id="rId1" Type="http://schemas.openxmlformats.org/officeDocument/2006/relationships/hyperlink" Target="https://pubmed.ncbi.nlm.nih.gov/26115018/" TargetMode="External"/><Relationship Id="rId6" Type="http://schemas.openxmlformats.org/officeDocument/2006/relationships/hyperlink" Target="https://www.fsrh.org/standards-and-guidance/fsrh-guidelines-and-statements/management-of-srh-issues/problematic-bleeding/" TargetMode="External"/><Relationship Id="rId11" Type="http://schemas.openxmlformats.org/officeDocument/2006/relationships/hyperlink" Target="http://www.ncbi.nlm.nih.gov/pubmed/24401645" TargetMode="External"/><Relationship Id="rId24" Type="http://schemas.openxmlformats.org/officeDocument/2006/relationships/hyperlink" Target="https://www.ncbi.nlm.nih.gov/pubmed/19679614" TargetMode="External"/><Relationship Id="rId32" Type="http://schemas.openxmlformats.org/officeDocument/2006/relationships/hyperlink" Target="https://pubmed.ncbi.nlm.nih.gov/27000996/" TargetMode="External"/><Relationship Id="rId37" Type="http://schemas.openxmlformats.org/officeDocument/2006/relationships/hyperlink" Target="http://www.who.int/reproductivehealth/publications/family_planning/MEC-5/en/" TargetMode="External"/><Relationship Id="rId5" Type="http://schemas.openxmlformats.org/officeDocument/2006/relationships/hyperlink" Target="https://www.who.int/publications/i/item/9789241549158" TargetMode="External"/><Relationship Id="rId15" Type="http://schemas.openxmlformats.org/officeDocument/2006/relationships/hyperlink" Target="https://www.who.int/reproductivehealth/publications/fp-global-handbook/en/" TargetMode="External"/><Relationship Id="rId23" Type="http://schemas.openxmlformats.org/officeDocument/2006/relationships/hyperlink" Target="https://www.ncbi.nlm.nih.gov/pubmed/22027398" TargetMode="External"/><Relationship Id="rId28" Type="http://schemas.openxmlformats.org/officeDocument/2006/relationships/hyperlink" Target="https://pubmed.ncbi.nlm.nih.gov/24332433/" TargetMode="External"/><Relationship Id="rId36" Type="http://schemas.openxmlformats.org/officeDocument/2006/relationships/hyperlink" Target="http://www.ncbi.nlm.nih.gov/pubmed/25331712" TargetMode="External"/><Relationship Id="rId10" Type="http://schemas.openxmlformats.org/officeDocument/2006/relationships/hyperlink" Target="http://www.ncbi.nlm.nih.gov/pubmed/26646680" TargetMode="External"/><Relationship Id="rId19" Type="http://schemas.openxmlformats.org/officeDocument/2006/relationships/hyperlink" Target="https://www.who.int/publications/i/item/9789241549158" TargetMode="External"/><Relationship Id="rId31" Type="http://schemas.openxmlformats.org/officeDocument/2006/relationships/hyperlink" Target="https://pubmed.ncbi.nlm.nih.gov/24332433/" TargetMode="External"/><Relationship Id="rId4" Type="http://schemas.openxmlformats.org/officeDocument/2006/relationships/hyperlink" Target="https://www.who.int/reproductivehealth/publications/fp-global-handbook/en/" TargetMode="External"/><Relationship Id="rId9" Type="http://schemas.openxmlformats.org/officeDocument/2006/relationships/hyperlink" Target="https://www.ncbi.nlm.nih.gov/pubmed/26115018" TargetMode="External"/><Relationship Id="rId14" Type="http://schemas.openxmlformats.org/officeDocument/2006/relationships/hyperlink" Target="https://www.knowledgehub.org.za/e-library" TargetMode="External"/><Relationship Id="rId22" Type="http://schemas.openxmlformats.org/officeDocument/2006/relationships/hyperlink" Target="https://www.ncbi.nlm.nih.gov/pubmed/19679614" TargetMode="External"/><Relationship Id="rId27" Type="http://schemas.openxmlformats.org/officeDocument/2006/relationships/hyperlink" Target="https://www.ncbi.nlm.nih.gov/pubmed/22027398" TargetMode="External"/><Relationship Id="rId30" Type="http://schemas.openxmlformats.org/officeDocument/2006/relationships/hyperlink" Target="https://pubmed.ncbi.nlm.nih.gov/31053605/" TargetMode="External"/><Relationship Id="rId35" Type="http://schemas.openxmlformats.org/officeDocument/2006/relationships/hyperlink" Target="http://www.ncbi.nlm.nih.gov/pubmed/22536010" TargetMode="External"/><Relationship Id="rId8" Type="http://schemas.openxmlformats.org/officeDocument/2006/relationships/hyperlink" Target="https://pubmed.ncbi.nlm.nih.gov/21477680/" TargetMode="External"/><Relationship Id="rId3" Type="http://schemas.openxmlformats.org/officeDocument/2006/relationships/hyperlink" Target="https://www.who.int/publications/i/item/97892415491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20EML%20revisions\Document%20build%20-%20Andre\Template\PHC%20STG%20Template_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3A17-FEE9-41E5-B132-9C38B84A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PHC STG Template_Chapter</Template>
  <TotalTime>70</TotalTime>
  <Pages>17</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Chapter #</vt:lpstr>
    </vt:vector>
  </TitlesOfParts>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dc:title>
  <dc:subject>Chapter Description</dc:subject>
  <dc:creator>andre</dc:creator>
  <cp:keywords/>
  <dc:description/>
  <cp:lastModifiedBy>Maropeng Rapetsoa</cp:lastModifiedBy>
  <cp:revision>9</cp:revision>
  <cp:lastPrinted>2021-09-16T12:50:00Z</cp:lastPrinted>
  <dcterms:created xsi:type="dcterms:W3CDTF">2022-07-06T11:47:00Z</dcterms:created>
  <dcterms:modified xsi:type="dcterms:W3CDTF">2024-12-03T07:23:00Z</dcterms:modified>
</cp:coreProperties>
</file>